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3992F">
      <w:pPr>
        <w:keepNext/>
        <w:keepLines/>
        <w:spacing w:line="400" w:lineRule="exact"/>
        <w:outlineLvl w:val="0"/>
        <w:rPr>
          <w:rFonts w:ascii="Times New Roman" w:hAnsi="Times New Roman" w:eastAsia="黑体" w:cs="Times New Roman"/>
          <w:w w:val="130"/>
          <w:sz w:val="18"/>
          <w:szCs w:val="18"/>
        </w:rPr>
      </w:pPr>
      <w:r>
        <w:rPr>
          <w:rFonts w:hint="eastAsia" w:ascii="Times New Roman" w:hAnsi="Times New Roman" w:eastAsia="黑体" w:cs="Times New Roman"/>
          <w:b/>
          <w:w w:val="130"/>
          <w:sz w:val="18"/>
          <w:szCs w:val="18"/>
        </w:rPr>
        <w:t>ICS</w:t>
      </w:r>
      <w:r>
        <w:rPr>
          <w:rFonts w:hint="eastAsia" w:ascii="Times New Roman" w:hAnsi="Times New Roman" w:eastAsia="黑体" w:cs="Times New Roman"/>
          <w:w w:val="130"/>
          <w:sz w:val="18"/>
          <w:szCs w:val="18"/>
        </w:rPr>
        <w:t xml:space="preserve"> </w:t>
      </w:r>
      <w:r>
        <w:rPr>
          <w:rFonts w:ascii="Times New Roman" w:hAnsi="Times New Roman" w:eastAsia="黑体" w:cs="Times New Roman"/>
          <w:w w:val="130"/>
          <w:sz w:val="18"/>
          <w:szCs w:val="18"/>
        </w:rPr>
        <w:t>03.120.20</w:t>
      </w:r>
    </w:p>
    <w:p w14:paraId="5E0FA874">
      <w:pPr>
        <w:spacing w:line="400" w:lineRule="exact"/>
        <w:textAlignment w:val="center"/>
        <w:rPr>
          <w:rFonts w:ascii="Times New Roman" w:hAnsi="Times New Roman" w:eastAsia="黑体" w:cs="Times New Roman"/>
          <w:w w:val="130"/>
          <w:sz w:val="18"/>
          <w:szCs w:val="18"/>
        </w:rPr>
      </w:pPr>
      <w:r>
        <w:rPr>
          <w:rFonts w:hint="eastAsia" w:ascii="Times New Roman" w:hAnsi="Times New Roman" w:eastAsia="黑体" w:cs="Times New Roman"/>
          <w:b/>
          <w:w w:val="130"/>
          <w:sz w:val="18"/>
          <w:szCs w:val="18"/>
        </w:rPr>
        <w:t>CCS</w:t>
      </w:r>
      <w:r>
        <w:rPr>
          <w:rFonts w:hint="eastAsia" w:ascii="Times New Roman" w:hAnsi="Times New Roman" w:eastAsia="黑体" w:cs="Times New Roman"/>
          <w:w w:val="130"/>
          <w:sz w:val="18"/>
          <w:szCs w:val="18"/>
        </w:rPr>
        <w:t xml:space="preserve"> </w:t>
      </w:r>
      <w:r>
        <w:rPr>
          <w:rFonts w:ascii="Times New Roman" w:hAnsi="Times New Roman" w:eastAsia="黑体" w:cs="Times New Roman"/>
          <w:w w:val="130"/>
          <w:sz w:val="18"/>
          <w:szCs w:val="18"/>
        </w:rPr>
        <w:t>A 01</w:t>
      </w:r>
    </w:p>
    <w:p w14:paraId="04E50A9D">
      <w:pPr>
        <w:rPr>
          <w:rFonts w:cs="Times New Roman"/>
          <w:szCs w:val="24"/>
        </w:rPr>
      </w:pPr>
    </w:p>
    <w:p w14:paraId="27D99457">
      <w:pPr>
        <w:keepNext/>
        <w:keepLines/>
        <w:spacing w:line="576" w:lineRule="auto"/>
        <w:jc w:val="center"/>
        <w:outlineLvl w:val="0"/>
        <w:rPr>
          <w:rFonts w:ascii="华文中宋" w:hAnsi="华文中宋" w:eastAsia="华文中宋" w:cs="Times New Roman"/>
          <w:b/>
          <w:kern w:val="44"/>
          <w:sz w:val="10"/>
          <w:szCs w:val="10"/>
        </w:rPr>
      </w:pPr>
      <w:r>
        <w:rPr>
          <w:rFonts w:hint="eastAsia" w:ascii="华文中宋" w:hAnsi="华文中宋" w:eastAsia="华文中宋" w:cs="Times New Roman"/>
          <w:b/>
          <w:kern w:val="44"/>
          <w:sz w:val="84"/>
          <w:szCs w:val="84"/>
        </w:rPr>
        <w:t>团  体  标  准</w:t>
      </w:r>
    </w:p>
    <w:p w14:paraId="32BFFC4F">
      <w:pPr>
        <w:pBdr>
          <w:bottom w:val="single" w:color="auto" w:sz="6" w:space="1"/>
        </w:pBdr>
        <w:wordWrap w:val="0"/>
        <w:ind w:right="420" w:firstLine="6360" w:firstLineChars="2650"/>
        <w:rPr>
          <w:rFonts w:ascii="Times New Roman" w:hAnsi="Times New Roman" w:cs="Times New Roman"/>
          <w:sz w:val="24"/>
          <w:szCs w:val="24"/>
        </w:rPr>
      </w:pPr>
    </w:p>
    <w:p w14:paraId="648C2AAC">
      <w:pPr>
        <w:pBdr>
          <w:bottom w:val="single" w:color="auto" w:sz="6" w:space="1"/>
        </w:pBdr>
        <w:wordWrap w:val="0"/>
        <w:ind w:right="420" w:firstLine="480" w:firstLineChars="200"/>
        <w:jc w:val="right"/>
        <w:rPr>
          <w:rFonts w:ascii="Times New Roman" w:hAnsi="Times New Roman" w:cs="Times New Roman"/>
          <w:sz w:val="24"/>
          <w:szCs w:val="24"/>
        </w:rPr>
      </w:pPr>
      <w:r>
        <w:rPr>
          <w:rFonts w:ascii="Times New Roman" w:hAnsi="Times New Roman" w:cs="Times New Roman"/>
          <w:sz w:val="24"/>
          <w:szCs w:val="24"/>
        </w:rPr>
        <w:t>T/</w:t>
      </w:r>
      <w:r>
        <w:rPr>
          <w:rFonts w:hint="eastAsia" w:ascii="Times New Roman" w:hAnsi="Times New Roman" w:cs="Times New Roman"/>
          <w:sz w:val="24"/>
          <w:szCs w:val="24"/>
        </w:rPr>
        <w:t>CIQA</w:t>
      </w:r>
      <w:r>
        <w:rPr>
          <w:rFonts w:ascii="Times New Roman" w:hAnsi="Times New Roman" w:cs="Times New Roman"/>
          <w:sz w:val="24"/>
          <w:szCs w:val="24"/>
        </w:rPr>
        <w:t xml:space="preserve"> </w:t>
      </w:r>
      <w:r>
        <w:rPr>
          <w:rFonts w:hint="eastAsia" w:ascii="Times New Roman" w:hAnsi="Times New Roman" w:cs="Times New Roman"/>
          <w:sz w:val="24"/>
          <w:szCs w:val="24"/>
        </w:rPr>
        <w:t>xxx—</w:t>
      </w:r>
      <w:r>
        <w:rPr>
          <w:rFonts w:ascii="Times New Roman" w:hAnsi="Times New Roman" w:cs="Times New Roman"/>
          <w:sz w:val="24"/>
          <w:szCs w:val="24"/>
        </w:rPr>
        <w:t>2025</w:t>
      </w:r>
    </w:p>
    <w:p w14:paraId="2764AB88">
      <w:pPr>
        <w:rPr>
          <w:rFonts w:cs="Times New Roman"/>
          <w:szCs w:val="24"/>
        </w:rPr>
      </w:pPr>
    </w:p>
    <w:p w14:paraId="2245F109">
      <w:pPr>
        <w:rPr>
          <w:rFonts w:cs="Times New Roman"/>
          <w:szCs w:val="24"/>
        </w:rPr>
      </w:pPr>
    </w:p>
    <w:p w14:paraId="5F197C5F">
      <w:pPr>
        <w:rPr>
          <w:rFonts w:cs="Times New Roman"/>
          <w:szCs w:val="24"/>
        </w:rPr>
      </w:pPr>
    </w:p>
    <w:p w14:paraId="39475914">
      <w:pPr>
        <w:rPr>
          <w:rFonts w:cs="Times New Roman"/>
          <w:szCs w:val="24"/>
        </w:rPr>
      </w:pPr>
    </w:p>
    <w:p w14:paraId="260AFD4E">
      <w:pPr>
        <w:rPr>
          <w:rFonts w:cs="Times New Roman"/>
          <w:szCs w:val="24"/>
        </w:rPr>
      </w:pPr>
    </w:p>
    <w:p w14:paraId="2E7D6F76">
      <w:pPr>
        <w:jc w:val="center"/>
        <w:rPr>
          <w:rFonts w:cs="Times New Roman"/>
          <w:b/>
          <w:kern w:val="44"/>
          <w:sz w:val="44"/>
          <w:szCs w:val="24"/>
        </w:rPr>
      </w:pPr>
      <w:r>
        <w:rPr>
          <w:rFonts w:hint="eastAsia" w:cs="Times New Roman"/>
          <w:b/>
          <w:kern w:val="44"/>
          <w:sz w:val="44"/>
          <w:szCs w:val="24"/>
        </w:rPr>
        <w:t>品牌消费品鉴定机构及人员管理通用基本规范</w:t>
      </w:r>
    </w:p>
    <w:p w14:paraId="5596E55A">
      <w:pPr>
        <w:jc w:val="center"/>
        <w:rPr>
          <w:rFonts w:ascii="Times New Roman" w:hAnsi="Times New Roman" w:cs="Times New Roman"/>
          <w:b/>
          <w:sz w:val="24"/>
          <w:szCs w:val="24"/>
        </w:rPr>
      </w:pPr>
      <w:r>
        <w:rPr>
          <w:rFonts w:ascii="Times New Roman" w:hAnsi="Times New Roman" w:cs="Times New Roman"/>
          <w:b/>
          <w:sz w:val="24"/>
          <w:szCs w:val="24"/>
        </w:rPr>
        <w:t>General specification for brand consumer goods appraisal institution and personal management</w:t>
      </w:r>
    </w:p>
    <w:p w14:paraId="49D351A3">
      <w:pPr>
        <w:jc w:val="center"/>
        <w:rPr>
          <w:rFonts w:cs="Times New Roman"/>
          <w:b/>
          <w:szCs w:val="24"/>
        </w:rPr>
      </w:pPr>
    </w:p>
    <w:p w14:paraId="6C3A96A6">
      <w:pPr>
        <w:jc w:val="center"/>
        <w:rPr>
          <w:rFonts w:hint="eastAsia" w:eastAsia="宋体" w:cs="Times New Roman"/>
          <w:szCs w:val="24"/>
          <w:lang w:val="en-US" w:eastAsia="zh-CN"/>
        </w:rPr>
      </w:pPr>
      <w:r>
        <w:rPr>
          <w:rFonts w:hint="eastAsia" w:cs="Times New Roman"/>
          <w:szCs w:val="24"/>
          <w:lang w:val="en-US" w:eastAsia="zh-CN"/>
        </w:rPr>
        <w:t>（征求意见稿）</w:t>
      </w:r>
    </w:p>
    <w:p w14:paraId="546665E1">
      <w:pPr>
        <w:jc w:val="center"/>
        <w:rPr>
          <w:rFonts w:cs="Times New Roman"/>
          <w:szCs w:val="24"/>
        </w:rPr>
      </w:pPr>
    </w:p>
    <w:p w14:paraId="3C35F4A5">
      <w:pPr>
        <w:jc w:val="center"/>
        <w:rPr>
          <w:rFonts w:cs="Times New Roman"/>
          <w:szCs w:val="24"/>
        </w:rPr>
      </w:pPr>
    </w:p>
    <w:p w14:paraId="2093326F">
      <w:pPr>
        <w:jc w:val="center"/>
        <w:rPr>
          <w:rFonts w:cs="Times New Roman"/>
          <w:szCs w:val="24"/>
        </w:rPr>
      </w:pPr>
    </w:p>
    <w:p w14:paraId="4BDF06D8">
      <w:pPr>
        <w:jc w:val="center"/>
        <w:rPr>
          <w:rFonts w:cs="Times New Roman"/>
          <w:szCs w:val="24"/>
        </w:rPr>
      </w:pPr>
    </w:p>
    <w:p w14:paraId="252D0AE0">
      <w:pPr>
        <w:jc w:val="center"/>
        <w:rPr>
          <w:rFonts w:cs="Times New Roman"/>
          <w:szCs w:val="24"/>
        </w:rPr>
      </w:pPr>
    </w:p>
    <w:p w14:paraId="7286A4BC">
      <w:pPr>
        <w:jc w:val="center"/>
        <w:rPr>
          <w:rFonts w:cs="Times New Roman"/>
          <w:szCs w:val="24"/>
        </w:rPr>
      </w:pPr>
    </w:p>
    <w:p w14:paraId="6C579E18">
      <w:pPr>
        <w:jc w:val="center"/>
        <w:rPr>
          <w:rFonts w:cs="Times New Roman"/>
          <w:szCs w:val="24"/>
        </w:rPr>
      </w:pPr>
    </w:p>
    <w:p w14:paraId="1F718A48">
      <w:pPr>
        <w:jc w:val="center"/>
        <w:rPr>
          <w:rFonts w:cs="Times New Roman"/>
          <w:szCs w:val="24"/>
        </w:rPr>
      </w:pPr>
    </w:p>
    <w:p w14:paraId="7FA81436">
      <w:pPr>
        <w:jc w:val="center"/>
        <w:rPr>
          <w:rFonts w:cs="Times New Roman"/>
          <w:szCs w:val="24"/>
        </w:rPr>
      </w:pPr>
    </w:p>
    <w:p w14:paraId="49FCEB51">
      <w:pPr>
        <w:jc w:val="center"/>
        <w:rPr>
          <w:rFonts w:cs="Times New Roman"/>
          <w:szCs w:val="24"/>
        </w:rPr>
      </w:pPr>
    </w:p>
    <w:p w14:paraId="3DD065F7">
      <w:pPr>
        <w:jc w:val="center"/>
        <w:rPr>
          <w:rFonts w:cs="Times New Roman"/>
          <w:szCs w:val="24"/>
        </w:rPr>
      </w:pPr>
    </w:p>
    <w:p w14:paraId="36D99D9F">
      <w:pPr>
        <w:jc w:val="center"/>
        <w:rPr>
          <w:rFonts w:cs="Times New Roman"/>
          <w:szCs w:val="24"/>
        </w:rPr>
      </w:pPr>
    </w:p>
    <w:p w14:paraId="1BF08A92">
      <w:pPr>
        <w:jc w:val="center"/>
        <w:rPr>
          <w:rFonts w:cs="Times New Roman"/>
          <w:szCs w:val="24"/>
        </w:rPr>
      </w:pPr>
    </w:p>
    <w:p w14:paraId="5F93319A">
      <w:pPr>
        <w:jc w:val="center"/>
        <w:rPr>
          <w:rFonts w:cs="Times New Roman"/>
          <w:szCs w:val="24"/>
        </w:rPr>
      </w:pPr>
    </w:p>
    <w:p w14:paraId="2EE753EE">
      <w:pPr>
        <w:jc w:val="center"/>
        <w:rPr>
          <w:rFonts w:cs="Times New Roman"/>
          <w:szCs w:val="24"/>
        </w:rPr>
      </w:pPr>
    </w:p>
    <w:p w14:paraId="27DFF619">
      <w:pPr>
        <w:jc w:val="center"/>
        <w:rPr>
          <w:rFonts w:cs="Times New Roman"/>
          <w:szCs w:val="24"/>
        </w:rPr>
      </w:pPr>
    </w:p>
    <w:p w14:paraId="0CA9F0B0">
      <w:pPr>
        <w:ind w:firstLine="280" w:firstLineChars="100"/>
        <w:jc w:val="left"/>
        <w:rPr>
          <w:rFonts w:cs="Times New Roman"/>
          <w:sz w:val="28"/>
          <w:szCs w:val="28"/>
        </w:rPr>
      </w:pPr>
      <w:r>
        <w:rPr>
          <w:rFonts w:hint="eastAsia" w:cs="Times New Roman"/>
          <w:sz w:val="28"/>
          <w:szCs w:val="28"/>
        </w:rPr>
        <w:t>202</w:t>
      </w:r>
      <w:r>
        <w:rPr>
          <w:rFonts w:cs="Times New Roman"/>
          <w:sz w:val="28"/>
          <w:szCs w:val="28"/>
        </w:rPr>
        <w:t>5</w:t>
      </w:r>
      <w:r>
        <w:rPr>
          <w:rFonts w:hint="eastAsia" w:cs="Times New Roman"/>
          <w:sz w:val="28"/>
          <w:szCs w:val="28"/>
        </w:rPr>
        <w:t>-</w:t>
      </w:r>
      <w:r>
        <w:rPr>
          <w:rFonts w:cs="Times New Roman"/>
          <w:sz w:val="28"/>
          <w:szCs w:val="28"/>
        </w:rPr>
        <w:t>XX</w:t>
      </w:r>
      <w:r>
        <w:rPr>
          <w:rFonts w:hint="eastAsia" w:cs="Times New Roman"/>
          <w:sz w:val="28"/>
          <w:szCs w:val="28"/>
        </w:rPr>
        <w:t>-</w:t>
      </w:r>
      <w:r>
        <w:rPr>
          <w:rFonts w:cs="Times New Roman"/>
          <w:sz w:val="28"/>
          <w:szCs w:val="28"/>
        </w:rPr>
        <w:t>XX</w:t>
      </w:r>
      <w:r>
        <w:rPr>
          <w:rFonts w:hint="eastAsia" w:cs="Times New Roman"/>
          <w:sz w:val="28"/>
          <w:szCs w:val="28"/>
        </w:rPr>
        <w:t xml:space="preserve"> 发布                             202</w:t>
      </w:r>
      <w:r>
        <w:rPr>
          <w:rFonts w:cs="Times New Roman"/>
          <w:sz w:val="28"/>
          <w:szCs w:val="28"/>
        </w:rPr>
        <w:t>5</w:t>
      </w:r>
      <w:r>
        <w:rPr>
          <w:rFonts w:hint="eastAsia" w:cs="Times New Roman"/>
          <w:sz w:val="28"/>
          <w:szCs w:val="28"/>
        </w:rPr>
        <w:t>-</w:t>
      </w:r>
      <w:r>
        <w:rPr>
          <w:rFonts w:cs="Times New Roman"/>
          <w:sz w:val="28"/>
          <w:szCs w:val="28"/>
        </w:rPr>
        <w:t>XX</w:t>
      </w:r>
      <w:r>
        <w:rPr>
          <w:rFonts w:hint="eastAsia" w:cs="Times New Roman"/>
          <w:sz w:val="28"/>
          <w:szCs w:val="28"/>
        </w:rPr>
        <w:t>-</w:t>
      </w:r>
      <w:r>
        <w:rPr>
          <w:rFonts w:cs="Times New Roman"/>
          <w:sz w:val="28"/>
          <w:szCs w:val="28"/>
        </w:rPr>
        <w:t>XX</w:t>
      </w:r>
      <w:r>
        <w:rPr>
          <w:rFonts w:hint="eastAsia" w:cs="Times New Roman"/>
          <w:sz w:val="28"/>
          <w:szCs w:val="28"/>
        </w:rPr>
        <w:t>实施</w:t>
      </w:r>
    </w:p>
    <w:p w14:paraId="0F1577E4">
      <w:pPr>
        <w:jc w:val="center"/>
        <w:rPr>
          <w:rFonts w:cs="Times New Roman"/>
          <w:b/>
          <w:sz w:val="28"/>
          <w:szCs w:val="28"/>
        </w:rPr>
        <w:sectPr>
          <w:footerReference r:id="rId5" w:type="first"/>
          <w:headerReference r:id="rId3" w:type="even"/>
          <w:footerReference r:id="rId4" w:type="even"/>
          <w:pgSz w:w="11906" w:h="16838"/>
          <w:pgMar w:top="1440" w:right="1800" w:bottom="1440" w:left="1800" w:header="851" w:footer="992" w:gutter="0"/>
          <w:cols w:space="425" w:num="1"/>
          <w:docGrid w:type="lines" w:linePitch="312" w:charSpace="0"/>
        </w:sectPr>
      </w:pPr>
      <w:r>
        <w:rPr>
          <w:rFonts w:hint="eastAsia" w:cs="Times New Roman"/>
          <w:sz w:val="28"/>
          <w:szCs w:val="28"/>
        </w:rPr>
        <w:t>中国出入境检验检疫协会</w:t>
      </w:r>
      <w:r>
        <w:rPr>
          <w:rFonts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11430</wp:posOffset>
                </wp:positionV>
                <wp:extent cx="5943600" cy="0"/>
                <wp:effectExtent l="0" t="0" r="0" b="0"/>
                <wp:wrapNone/>
                <wp:docPr id="1" name="直接箭头连接符 7"/>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ln>
                        <a:effectLst/>
                      </wps:spPr>
                      <wps:bodyPr/>
                    </wps:wsp>
                  </a:graphicData>
                </a:graphic>
              </wp:anchor>
            </w:drawing>
          </mc:Choice>
          <mc:Fallback>
            <w:pict>
              <v:shape id="直接箭头连接符 7" o:spid="_x0000_s1026" o:spt="32" type="#_x0000_t32" style="position:absolute;left:0pt;margin-left:2.85pt;margin-top:0.9pt;height:0pt;width:468pt;z-index:251659264;mso-width-relative:page;mso-height-relative:page;" filled="f" stroked="t" coordsize="21600,21600" o:gfxdata="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u5IkPRAAAABQEAAA8AAAAAAAAAAQAgAAAAIgAAAGRycy9kb3ducmV2LnhtbFBLAQIU&#10;ABQAAAAIAIdO4kB+/vbi+gEAAMwDAAAOAAAAAAAAAAEAIAAAACABAABkcnMvZTJvRG9jLnhtbFBL&#10;BQYAAAAABgAGAFkBAACMBQAAAAA=&#10;">
                <v:fill on="f" focussize="0,0"/>
                <v:stroke color="#000000" joinstyle="round"/>
                <v:imagedata o:title=""/>
                <o:lock v:ext="edit" aspectratio="f"/>
              </v:shape>
            </w:pict>
          </mc:Fallback>
        </mc:AlternateContent>
      </w:r>
      <w:r>
        <w:rPr>
          <w:rFonts w:hint="eastAsia" w:cs="Times New Roman"/>
          <w:sz w:val="28"/>
          <w:szCs w:val="28"/>
        </w:rPr>
        <w:t xml:space="preserve">   </w:t>
      </w:r>
      <w:r>
        <w:rPr>
          <w:rFonts w:hint="eastAsia" w:cs="Times New Roman"/>
          <w:b/>
          <w:sz w:val="28"/>
          <w:szCs w:val="28"/>
        </w:rPr>
        <w:t>发 布</w:t>
      </w:r>
    </w:p>
    <w:p w14:paraId="49FA7438">
      <w:pPr>
        <w:widowControl/>
        <w:spacing w:after="360" w:afterLines="150"/>
        <w:jc w:val="center"/>
        <w:rPr>
          <w:rFonts w:ascii="黑体" w:hAnsi="宋体" w:eastAsia="黑体" w:cs="宋体"/>
          <w:kern w:val="0"/>
          <w:sz w:val="32"/>
          <w:szCs w:val="24"/>
        </w:rPr>
      </w:pPr>
      <w:bookmarkStart w:id="0" w:name="BookMark1"/>
      <w:r>
        <w:rPr>
          <w:rFonts w:ascii="黑体" w:hAnsi="宋体" w:eastAsia="黑体" w:cs="宋体"/>
          <w:spacing w:val="320"/>
          <w:kern w:val="0"/>
          <w:sz w:val="32"/>
          <w:szCs w:val="24"/>
        </w:rPr>
        <w:t>目</w:t>
      </w:r>
      <w:r>
        <w:rPr>
          <w:rFonts w:ascii="黑体" w:hAnsi="宋体" w:eastAsia="黑体" w:cs="宋体"/>
          <w:kern w:val="0"/>
          <w:sz w:val="32"/>
          <w:szCs w:val="24"/>
        </w:rPr>
        <w:t>次</w:t>
      </w:r>
    </w:p>
    <w:p w14:paraId="1DF60BD2">
      <w:pPr>
        <w:pStyle w:val="20"/>
        <w:tabs>
          <w:tab w:val="right" w:leader="dot" w:pos="9344"/>
        </w:tabs>
        <w:rPr>
          <w:rFonts w:asciiTheme="minorHAnsi" w:hAnsiTheme="minorHAnsi" w:eastAsiaTheme="minorEastAsia" w:cstheme="minorBidi"/>
          <w:kern w:val="2"/>
          <w:sz w:val="22"/>
          <w14:ligatures w14:val="standardContextual"/>
        </w:rPr>
      </w:pPr>
      <w:r>
        <w:rPr>
          <w:sz w:val="21"/>
        </w:rPr>
        <w:fldChar w:fldCharType="begin"/>
      </w:r>
      <w:r>
        <w:instrText xml:space="preserve"> TOC \o "1-1" \h \t "标准文件_一级条标题,2,标准文件_二级条标题,3,标准文件_附录一级条标题,2,标准文件_附录二级条标题,3," </w:instrText>
      </w:r>
      <w:r>
        <w:rPr>
          <w:sz w:val="21"/>
        </w:rPr>
        <w:fldChar w:fldCharType="separate"/>
      </w:r>
      <w:r>
        <w:fldChar w:fldCharType="begin"/>
      </w:r>
      <w:r>
        <w:instrText xml:space="preserve"> HYPERLINK \l "_Toc192922905" </w:instrText>
      </w:r>
      <w:r>
        <w:fldChar w:fldCharType="separate"/>
      </w:r>
      <w:r>
        <w:rPr>
          <w:rStyle w:val="33"/>
          <w:spacing w:val="320"/>
        </w:rPr>
        <w:t>前言</w:t>
      </w:r>
      <w:r>
        <w:tab/>
      </w:r>
      <w:r>
        <w:fldChar w:fldCharType="begin"/>
      </w:r>
      <w:r>
        <w:instrText xml:space="preserve"> PAGEREF _Toc192922905 \h </w:instrText>
      </w:r>
      <w:r>
        <w:fldChar w:fldCharType="separate"/>
      </w:r>
      <w:r>
        <w:t>II</w:t>
      </w:r>
      <w:r>
        <w:fldChar w:fldCharType="end"/>
      </w:r>
      <w:r>
        <w:fldChar w:fldCharType="end"/>
      </w:r>
    </w:p>
    <w:p w14:paraId="2A08DB92">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"_Toc192922906" </w:instrText>
      </w:r>
      <w:r>
        <w:fldChar w:fldCharType="separate"/>
      </w:r>
      <w:r>
        <w:rPr>
          <w:rStyle w:val="33"/>
        </w:rPr>
        <w:t>1</w:t>
      </w:r>
      <w:r>
        <w:rPr>
          <w:rFonts w:asciiTheme="minorHAnsi" w:hAnsiTheme="minorHAnsi" w:eastAsiaTheme="minorEastAsia" w:cstheme="minorBidi"/>
          <w:kern w:val="2"/>
          <w:sz w:val="22"/>
          <w14:ligatures w14:val="standardContextual"/>
        </w:rPr>
        <w:tab/>
      </w:r>
      <w:r>
        <w:rPr>
          <w:rStyle w:val="33"/>
        </w:rPr>
        <w:t>范围</w:t>
      </w:r>
      <w:r>
        <w:tab/>
      </w:r>
      <w:r>
        <w:fldChar w:fldCharType="begin"/>
      </w:r>
      <w:r>
        <w:instrText xml:space="preserve"> PAGEREF _Toc192922906 \h </w:instrText>
      </w:r>
      <w:r>
        <w:fldChar w:fldCharType="separate"/>
      </w:r>
      <w:r>
        <w:t>3</w:t>
      </w:r>
      <w:r>
        <w:fldChar w:fldCharType="end"/>
      </w:r>
      <w:r>
        <w:fldChar w:fldCharType="end"/>
      </w:r>
    </w:p>
    <w:p w14:paraId="576F2214">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"_Toc192922907" </w:instrText>
      </w:r>
      <w:r>
        <w:fldChar w:fldCharType="separate"/>
      </w:r>
      <w:r>
        <w:rPr>
          <w:rStyle w:val="33"/>
        </w:rPr>
        <w:t>2</w:t>
      </w:r>
      <w:r>
        <w:rPr>
          <w:rFonts w:asciiTheme="minorHAnsi" w:hAnsiTheme="minorHAnsi" w:eastAsiaTheme="minorEastAsia" w:cstheme="minorBidi"/>
          <w:kern w:val="2"/>
          <w:sz w:val="22"/>
          <w14:ligatures w14:val="standardContextual"/>
        </w:rPr>
        <w:tab/>
      </w:r>
      <w:r>
        <w:rPr>
          <w:rStyle w:val="33"/>
        </w:rPr>
        <w:t>规范性引用文件</w:t>
      </w:r>
      <w:r>
        <w:tab/>
      </w:r>
      <w:r>
        <w:fldChar w:fldCharType="begin"/>
      </w:r>
      <w:r>
        <w:instrText xml:space="preserve"> PAGEREF _Toc192922907 \h </w:instrText>
      </w:r>
      <w:r>
        <w:fldChar w:fldCharType="separate"/>
      </w:r>
      <w:r>
        <w:t>3</w:t>
      </w:r>
      <w:r>
        <w:fldChar w:fldCharType="end"/>
      </w:r>
      <w:r>
        <w:fldChar w:fldCharType="end"/>
      </w:r>
    </w:p>
    <w:p w14:paraId="2D5AFE97">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"_Toc192922908" </w:instrText>
      </w:r>
      <w:r>
        <w:fldChar w:fldCharType="separate"/>
      </w:r>
      <w:r>
        <w:rPr>
          <w:rStyle w:val="33"/>
        </w:rPr>
        <w:t>3</w:t>
      </w:r>
      <w:r>
        <w:rPr>
          <w:rFonts w:asciiTheme="minorHAnsi" w:hAnsiTheme="minorHAnsi" w:eastAsiaTheme="minorEastAsia" w:cstheme="minorBidi"/>
          <w:kern w:val="2"/>
          <w:sz w:val="22"/>
          <w14:ligatures w14:val="standardContextual"/>
        </w:rPr>
        <w:tab/>
      </w:r>
      <w:r>
        <w:rPr>
          <w:rStyle w:val="33"/>
        </w:rPr>
        <w:t>术语和定义</w:t>
      </w:r>
      <w:r>
        <w:tab/>
      </w:r>
      <w:r>
        <w:fldChar w:fldCharType="begin"/>
      </w:r>
      <w:r>
        <w:instrText xml:space="preserve"> PAGEREF _Toc192922908 \h </w:instrText>
      </w:r>
      <w:r>
        <w:fldChar w:fldCharType="separate"/>
      </w:r>
      <w:r>
        <w:t>3</w:t>
      </w:r>
      <w:r>
        <w:fldChar w:fldCharType="end"/>
      </w:r>
      <w:r>
        <w:fldChar w:fldCharType="end"/>
      </w:r>
    </w:p>
    <w:p w14:paraId="19DC224A">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"_Toc192922909" </w:instrText>
      </w:r>
      <w:r>
        <w:fldChar w:fldCharType="separate"/>
      </w:r>
      <w:r>
        <w:rPr>
          <w:rStyle w:val="33"/>
        </w:rPr>
        <w:t>4</w:t>
      </w:r>
      <w:r>
        <w:rPr>
          <w:rFonts w:asciiTheme="minorHAnsi" w:hAnsiTheme="minorHAnsi" w:eastAsiaTheme="minorEastAsia" w:cstheme="minorBidi"/>
          <w:kern w:val="2"/>
          <w:sz w:val="22"/>
          <w14:ligatures w14:val="standardContextual"/>
        </w:rPr>
        <w:tab/>
      </w:r>
      <w:r>
        <w:rPr>
          <w:rStyle w:val="33"/>
        </w:rPr>
        <w:t>鉴定机构</w:t>
      </w:r>
      <w:r>
        <w:tab/>
      </w:r>
      <w:r>
        <w:fldChar w:fldCharType="begin"/>
      </w:r>
      <w:r>
        <w:instrText xml:space="preserve"> PAGEREF _Toc192922909 \h </w:instrText>
      </w:r>
      <w:r>
        <w:fldChar w:fldCharType="separate"/>
      </w:r>
      <w:r>
        <w:t>5</w:t>
      </w:r>
      <w:r>
        <w:fldChar w:fldCharType="end"/>
      </w:r>
      <w:r>
        <w:fldChar w:fldCharType="end"/>
      </w:r>
    </w:p>
    <w:p w14:paraId="23A22A27">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"_Toc192922910" </w:instrText>
      </w:r>
      <w:r>
        <w:fldChar w:fldCharType="separate"/>
      </w:r>
      <w:r>
        <w:rPr>
          <w:rStyle w:val="33"/>
        </w:rPr>
        <w:t>5</w:t>
      </w:r>
      <w:r>
        <w:rPr>
          <w:rFonts w:asciiTheme="minorHAnsi" w:hAnsiTheme="minorHAnsi" w:eastAsiaTheme="minorEastAsia" w:cstheme="minorBidi"/>
          <w:kern w:val="2"/>
          <w:sz w:val="22"/>
          <w14:ligatures w14:val="standardContextual"/>
        </w:rPr>
        <w:tab/>
      </w:r>
      <w:r>
        <w:rPr>
          <w:rStyle w:val="33"/>
        </w:rPr>
        <w:t>鉴定人员</w:t>
      </w:r>
      <w:r>
        <w:tab/>
      </w:r>
      <w:r>
        <w:fldChar w:fldCharType="begin"/>
      </w:r>
      <w:r>
        <w:instrText xml:space="preserve"> PAGEREF _Toc192922910 \h </w:instrText>
      </w:r>
      <w:r>
        <w:fldChar w:fldCharType="separate"/>
      </w:r>
      <w:r>
        <w:t>5</w:t>
      </w:r>
      <w:r>
        <w:fldChar w:fldCharType="end"/>
      </w:r>
      <w:r>
        <w:fldChar w:fldCharType="end"/>
      </w:r>
    </w:p>
    <w:p w14:paraId="12D8F9EA">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"_Toc192922911" </w:instrText>
      </w:r>
      <w:r>
        <w:fldChar w:fldCharType="separate"/>
      </w:r>
      <w:r>
        <w:rPr>
          <w:rStyle w:val="33"/>
        </w:rPr>
        <w:t>6</w:t>
      </w:r>
      <w:r>
        <w:rPr>
          <w:rFonts w:asciiTheme="minorHAnsi" w:hAnsiTheme="minorHAnsi" w:eastAsiaTheme="minorEastAsia" w:cstheme="minorBidi"/>
          <w:kern w:val="2"/>
          <w:sz w:val="22"/>
          <w14:ligatures w14:val="standardContextual"/>
        </w:rPr>
        <w:tab/>
      </w:r>
      <w:r>
        <w:rPr>
          <w:rStyle w:val="33"/>
        </w:rPr>
        <w:t>仪器与设备</w:t>
      </w:r>
      <w:r>
        <w:tab/>
      </w:r>
      <w:r>
        <w:fldChar w:fldCharType="begin"/>
      </w:r>
      <w:r>
        <w:instrText xml:space="preserve"> PAGEREF _Toc192922911 \h </w:instrText>
      </w:r>
      <w:r>
        <w:fldChar w:fldCharType="separate"/>
      </w:r>
      <w:r>
        <w:t>6</w:t>
      </w:r>
      <w:r>
        <w:fldChar w:fldCharType="end"/>
      </w:r>
      <w:r>
        <w:fldChar w:fldCharType="end"/>
      </w:r>
    </w:p>
    <w:p w14:paraId="7DE91BB9">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"_Toc192922912" </w:instrText>
      </w:r>
      <w:r>
        <w:fldChar w:fldCharType="separate"/>
      </w:r>
      <w:r>
        <w:rPr>
          <w:rStyle w:val="33"/>
        </w:rPr>
        <w:t>7</w:t>
      </w:r>
      <w:r>
        <w:rPr>
          <w:rFonts w:asciiTheme="minorHAnsi" w:hAnsiTheme="minorHAnsi" w:eastAsiaTheme="minorEastAsia" w:cstheme="minorBidi"/>
          <w:kern w:val="2"/>
          <w:sz w:val="22"/>
          <w14:ligatures w14:val="standardContextual"/>
        </w:rPr>
        <w:tab/>
      </w:r>
      <w:r>
        <w:rPr>
          <w:rStyle w:val="33"/>
        </w:rPr>
        <w:t>鉴定环境</w:t>
      </w:r>
      <w:r>
        <w:tab/>
      </w:r>
      <w:r>
        <w:fldChar w:fldCharType="begin"/>
      </w:r>
      <w:r>
        <w:instrText xml:space="preserve"> PAGEREF _Toc192922912 \h </w:instrText>
      </w:r>
      <w:r>
        <w:fldChar w:fldCharType="separate"/>
      </w:r>
      <w:r>
        <w:t>6</w:t>
      </w:r>
      <w:r>
        <w:fldChar w:fldCharType="end"/>
      </w:r>
      <w:r>
        <w:fldChar w:fldCharType="end"/>
      </w:r>
    </w:p>
    <w:p w14:paraId="06B88D42">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"_Toc192922913" </w:instrText>
      </w:r>
      <w:r>
        <w:fldChar w:fldCharType="separate"/>
      </w:r>
      <w:r>
        <w:rPr>
          <w:rStyle w:val="33"/>
        </w:rPr>
        <w:t>8</w:t>
      </w:r>
      <w:r>
        <w:rPr>
          <w:rFonts w:asciiTheme="minorHAnsi" w:hAnsiTheme="minorHAnsi" w:eastAsiaTheme="minorEastAsia" w:cstheme="minorBidi"/>
          <w:kern w:val="2"/>
          <w:sz w:val="22"/>
          <w14:ligatures w14:val="standardContextual"/>
        </w:rPr>
        <w:tab/>
      </w:r>
      <w:r>
        <w:rPr>
          <w:rStyle w:val="33"/>
        </w:rPr>
        <w:t>鉴定程序</w:t>
      </w:r>
      <w:r>
        <w:tab/>
      </w:r>
      <w:r>
        <w:fldChar w:fldCharType="begin"/>
      </w:r>
      <w:r>
        <w:instrText xml:space="preserve"> PAGEREF _Toc192922913 \h </w:instrText>
      </w:r>
      <w:r>
        <w:fldChar w:fldCharType="separate"/>
      </w:r>
      <w:r>
        <w:t>6</w:t>
      </w:r>
      <w:r>
        <w:fldChar w:fldCharType="end"/>
      </w:r>
      <w:r>
        <w:fldChar w:fldCharType="end"/>
      </w:r>
    </w:p>
    <w:p w14:paraId="41D69C0B">
      <w:pPr>
        <w:pStyle w:val="20"/>
        <w:tabs>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"_Toc192922926" </w:instrText>
      </w:r>
      <w:r>
        <w:fldChar w:fldCharType="separate"/>
      </w:r>
      <w:r>
        <w:rPr>
          <w:rStyle w:val="33"/>
          <w:spacing w:val="120"/>
        </w:rPr>
        <w:t>参考文献</w:t>
      </w:r>
      <w:r>
        <w:tab/>
      </w:r>
      <w:r>
        <w:fldChar w:fldCharType="begin"/>
      </w:r>
      <w:r>
        <w:instrText xml:space="preserve"> PAGEREF _Toc192922926 \h </w:instrText>
      </w:r>
      <w:r>
        <w:fldChar w:fldCharType="separate"/>
      </w:r>
      <w:r>
        <w:t>12</w:t>
      </w:r>
      <w:r>
        <w:fldChar w:fldCharType="end"/>
      </w:r>
      <w:r>
        <w:fldChar w:fldCharType="end"/>
      </w:r>
    </w:p>
    <w:p w14:paraId="1CE0F21A">
      <w:pPr>
        <w:widowControl/>
        <w:spacing w:after="360" w:afterLines="150"/>
        <w:jc w:val="center"/>
        <w:rPr>
          <w:rFonts w:ascii="黑体" w:hAnsi="宋体" w:eastAsia="黑体" w:cs="宋体"/>
          <w:kern w:val="0"/>
          <w:sz w:val="32"/>
          <w:szCs w:val="24"/>
        </w:rPr>
        <w:sectPr>
          <w:headerReference r:id="rId6" w:type="default"/>
          <w:footerReference r:id="rId8" w:type="default"/>
          <w:headerReference r:id="rId7" w:type="even"/>
          <w:pgSz w:w="11906" w:h="16838"/>
          <w:pgMar w:top="2410" w:right="1134" w:bottom="1134" w:left="1134" w:header="1418" w:footer="1134" w:gutter="284"/>
          <w:pgNumType w:fmt="upperRoman" w:start="1"/>
          <w:cols w:space="425" w:num="1"/>
          <w:formProt w:val="0"/>
          <w:docGrid w:linePitch="312" w:charSpace="0"/>
        </w:sectPr>
      </w:pPr>
      <w:r>
        <w:rPr>
          <w:rFonts w:ascii="黑体" w:hAnsi="宋体" w:eastAsia="黑体" w:cs="宋体"/>
          <w:kern w:val="0"/>
          <w:sz w:val="32"/>
          <w:szCs w:val="24"/>
        </w:rPr>
        <w:fldChar w:fldCharType="end"/>
      </w:r>
    </w:p>
    <w:bookmarkEnd w:id="0"/>
    <w:p w14:paraId="178CB7B3">
      <w:pPr>
        <w:pStyle w:val="91"/>
        <w:spacing w:after="360"/>
        <w:rPr>
          <w:spacing w:val="320"/>
        </w:rPr>
      </w:pPr>
      <w:bookmarkStart w:id="1" w:name="_Toc192922905"/>
      <w:bookmarkStart w:id="2" w:name="BookMark2"/>
      <w:r>
        <w:rPr>
          <w:rFonts w:hint="eastAsia"/>
          <w:spacing w:val="320"/>
        </w:rPr>
        <w:t>前言</w:t>
      </w:r>
      <w:bookmarkEnd w:id="1"/>
    </w:p>
    <w:p w14:paraId="2DED2207">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本文件按照GB/T 1.1—2020《标准化工作导则  第1部分：标准化文件的结构和起草规则》的规定起草。</w:t>
      </w:r>
    </w:p>
    <w:p w14:paraId="0D43E417">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color w:val="000000"/>
          <w:kern w:val="0"/>
          <w:szCs w:val="21"/>
        </w:rPr>
        <w:t>请注意本文件的某些内容可能涉及专利。本文件的发布机构不承担识别这些专利的责任。</w:t>
      </w:r>
    </w:p>
    <w:p w14:paraId="53D9908A">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本标准由中国出入境检验检疫协会高端消费品标准化技术委员会（CIQA/TC</w:t>
      </w:r>
      <w:bookmarkStart w:id="42" w:name="_GoBack"/>
      <w:bookmarkEnd w:id="42"/>
      <w:r>
        <w:rPr>
          <w:rFonts w:hint="eastAsia" w:ascii="宋体" w:hAnsi="Times New Roman" w:cs="Times New Roman"/>
          <w:kern w:val="0"/>
          <w:szCs w:val="20"/>
        </w:rPr>
        <w:t>18）提出并归口。</w:t>
      </w:r>
    </w:p>
    <w:p w14:paraId="369B4FD1">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文件起草单位：中国海关科学技术研究中心、国家市场监督管理总局发展研究中心、天纺标质检技术服务（天津）有限公司、浙江省检验检疫科学技术研究院、中安防伪技术有限公司、河北省产品质量监督检验研究院、对外经济贸易大学奢侈品研究中心、江苏省纺织产品质量监督检验研究院、北京服装学院、上海得物信息集团有限公司、北京中认检测技术服务有限公司</w:t>
      </w:r>
    </w:p>
    <w:p w14:paraId="0AE736BC">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本文件主要起草人：王琳譞、李桐、张琛、周全盛、张伟娟、柴林玉、谢龙、张梦霞、刘扬、王淇、李鹏、李梦苏、潘璐璐、张小鲁、赵贺、陈梦缘、陈伟、周萌、李昱霏、李萌等</w:t>
      </w:r>
    </w:p>
    <w:p w14:paraId="5E134433">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本文件知识产权归中国出入境检验检疫协会所有。任何单位或个人未经许可，不得以营利为目的，印制、出版、翻译、转发或复制全文或部分文字</w:t>
      </w:r>
    </w:p>
    <w:p w14:paraId="07ABF4C6">
      <w:pPr>
        <w:widowControl/>
        <w:autoSpaceDE w:val="0"/>
        <w:autoSpaceDN w:val="0"/>
        <w:ind w:firstLine="420" w:firstLineChars="200"/>
        <w:rPr>
          <w:rFonts w:ascii="宋体" w:hAnsi="Times New Roman" w:cs="Times New Roman"/>
          <w:kern w:val="0"/>
          <w:szCs w:val="20"/>
        </w:rPr>
      </w:pPr>
    </w:p>
    <w:p w14:paraId="2244F827">
      <w:pPr>
        <w:widowControl/>
        <w:autoSpaceDE w:val="0"/>
        <w:autoSpaceDN w:val="0"/>
        <w:ind w:firstLine="420" w:firstLineChars="200"/>
        <w:rPr>
          <w:rFonts w:ascii="宋体" w:hAnsi="Times New Roman" w:cs="Times New Roman"/>
          <w:kern w:val="0"/>
          <w:szCs w:val="20"/>
        </w:rPr>
        <w:sectPr>
          <w:pgSz w:w="11906" w:h="16838"/>
          <w:pgMar w:top="2410" w:right="1134" w:bottom="1134" w:left="1134" w:header="1418" w:footer="1134" w:gutter="284"/>
          <w:pgNumType w:fmt="upperRoman"/>
          <w:cols w:space="425" w:num="1"/>
          <w:formProt w:val="0"/>
          <w:docGrid w:linePitch="312" w:charSpace="0"/>
        </w:sectPr>
      </w:pPr>
    </w:p>
    <w:bookmarkEnd w:id="2"/>
    <w:p w14:paraId="14B8D573">
      <w:pPr>
        <w:widowControl/>
        <w:spacing w:line="20" w:lineRule="exact"/>
        <w:jc w:val="center"/>
        <w:rPr>
          <w:rFonts w:ascii="黑体" w:hAnsi="黑体" w:eastAsia="黑体" w:cs="宋体"/>
          <w:kern w:val="0"/>
          <w:sz w:val="32"/>
          <w:szCs w:val="32"/>
        </w:rPr>
      </w:pPr>
      <w:bookmarkStart w:id="3" w:name="BookMark4"/>
    </w:p>
    <w:p w14:paraId="54BC6666">
      <w:pPr>
        <w:widowControl/>
        <w:spacing w:line="20" w:lineRule="exact"/>
        <w:jc w:val="center"/>
        <w:rPr>
          <w:rFonts w:ascii="黑体" w:hAnsi="黑体" w:eastAsia="黑体" w:cs="宋体"/>
          <w:kern w:val="0"/>
          <w:sz w:val="32"/>
          <w:szCs w:val="32"/>
        </w:rPr>
      </w:pPr>
    </w:p>
    <w:sdt>
      <w:sdtPr>
        <w:rPr>
          <w:rFonts w:ascii="黑体" w:hAnsi="黑体" w:eastAsia="黑体" w:cs="Times New Roman"/>
          <w:sz w:val="32"/>
          <w:szCs w:val="32"/>
        </w:rPr>
        <w:tag w:val="NEW_STAND_NAME"/>
        <w:id w:val="595910757"/>
        <w:placeholder>
          <w:docPart w:val="BA3B581AE4F984429A4E2978411DC538"/>
        </w:placeholder>
      </w:sdtPr>
      <w:sdtEndPr>
        <w:rPr>
          <w:rFonts w:ascii="黑体" w:hAnsi="黑体" w:eastAsia="黑体" w:cs="Times New Roman"/>
          <w:sz w:val="32"/>
          <w:szCs w:val="32"/>
        </w:rPr>
      </w:sdtEndPr>
      <w:sdtContent>
        <w:p w14:paraId="2FC6031F">
          <w:pPr>
            <w:widowControl/>
            <w:spacing w:before="240" w:beforeLines="100" w:after="528" w:afterLines="220" w:line="400" w:lineRule="exact"/>
            <w:jc w:val="center"/>
            <w:rPr>
              <w:rFonts w:ascii="黑体" w:hAnsi="黑体" w:eastAsia="黑体" w:cs="Times New Roman"/>
              <w:sz w:val="32"/>
              <w:szCs w:val="32"/>
            </w:rPr>
          </w:pPr>
          <w:bookmarkStart w:id="4" w:name="NEW_STAND_NAME"/>
          <w:r>
            <w:rPr>
              <w:rFonts w:hint="eastAsia" w:ascii="黑体" w:hAnsi="黑体" w:eastAsia="黑体" w:cs="Times New Roman"/>
              <w:sz w:val="32"/>
              <w:szCs w:val="32"/>
            </w:rPr>
            <w:t>品牌消费品鉴定机构及人员管理通用基本规范</w:t>
          </w:r>
        </w:p>
      </w:sdtContent>
    </w:sdt>
    <w:bookmarkEnd w:id="4"/>
    <w:p w14:paraId="46CDF39C">
      <w:pPr>
        <w:pStyle w:val="106"/>
        <w:numPr>
          <w:ilvl w:val="0"/>
          <w:numId w:val="35"/>
        </w:numPr>
        <w:spacing w:before="240" w:after="240"/>
      </w:pPr>
      <w:bookmarkStart w:id="5" w:name="_Toc26986530"/>
      <w:bookmarkStart w:id="6" w:name="_Toc26986771"/>
      <w:bookmarkStart w:id="7" w:name="_Toc192922906"/>
      <w:bookmarkStart w:id="8" w:name="_Toc24884211"/>
      <w:bookmarkStart w:id="9" w:name="_Toc24884218"/>
      <w:bookmarkStart w:id="10" w:name="_Toc26718930"/>
      <w:bookmarkStart w:id="11" w:name="_Toc26648465"/>
      <w:bookmarkStart w:id="12" w:name="_Toc17233333"/>
      <w:bookmarkStart w:id="13" w:name="_Toc17233325"/>
      <w:r>
        <w:rPr>
          <w:rFonts w:hint="eastAsia"/>
        </w:rPr>
        <w:t>范围</w:t>
      </w:r>
      <w:bookmarkEnd w:id="5"/>
      <w:bookmarkEnd w:id="6"/>
      <w:bookmarkEnd w:id="7"/>
      <w:bookmarkEnd w:id="8"/>
      <w:bookmarkEnd w:id="9"/>
      <w:bookmarkEnd w:id="10"/>
      <w:bookmarkEnd w:id="11"/>
      <w:bookmarkEnd w:id="12"/>
      <w:bookmarkEnd w:id="13"/>
    </w:p>
    <w:p w14:paraId="1C22318C">
      <w:pPr>
        <w:widowControl/>
        <w:autoSpaceDE w:val="0"/>
        <w:autoSpaceDN w:val="0"/>
        <w:ind w:firstLine="420" w:firstLineChars="200"/>
        <w:rPr>
          <w:rFonts w:ascii="宋体" w:hAnsi="Times New Roman" w:cs="Times New Roman"/>
          <w:kern w:val="0"/>
          <w:szCs w:val="20"/>
        </w:rPr>
      </w:pPr>
      <w:bookmarkStart w:id="14" w:name="_Toc24884219"/>
      <w:bookmarkStart w:id="15" w:name="_Toc26648466"/>
      <w:bookmarkStart w:id="16" w:name="_Toc17233334"/>
      <w:bookmarkStart w:id="17" w:name="_Toc24884212"/>
      <w:bookmarkStart w:id="18" w:name="_Toc17233326"/>
      <w:r>
        <w:rPr>
          <w:rFonts w:hint="eastAsia" w:ascii="宋体" w:hAnsi="Times New Roman" w:cs="Times New Roman"/>
          <w:kern w:val="0"/>
          <w:szCs w:val="20"/>
        </w:rPr>
        <w:t>本文件规定了品牌消费品鉴定机构及人员的资质要求、管理规范、设备标准、质量控制等方面的技术规范。</w:t>
      </w:r>
    </w:p>
    <w:p w14:paraId="59BE0D9F">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本文件适用于从事品牌消费品鉴定的机构及人员。</w:t>
      </w:r>
    </w:p>
    <w:p w14:paraId="013BCC8F">
      <w:pPr>
        <w:pStyle w:val="106"/>
        <w:numPr>
          <w:ilvl w:val="0"/>
          <w:numId w:val="35"/>
        </w:numPr>
        <w:spacing w:before="240" w:after="240"/>
        <w:ind w:left="0" w:firstLine="0"/>
      </w:pPr>
      <w:bookmarkStart w:id="19" w:name="_Toc192922907"/>
      <w:bookmarkStart w:id="20" w:name="_Toc26986772"/>
      <w:bookmarkStart w:id="21" w:name="_Toc26986531"/>
      <w:bookmarkStart w:id="22" w:name="_Toc26718931"/>
      <w:r>
        <w:rPr>
          <w:rFonts w:hint="eastAsia"/>
        </w:rPr>
        <w:t>规范性引用文件</w:t>
      </w:r>
      <w:bookmarkEnd w:id="14"/>
      <w:bookmarkEnd w:id="15"/>
      <w:bookmarkEnd w:id="16"/>
      <w:bookmarkEnd w:id="17"/>
      <w:bookmarkEnd w:id="18"/>
      <w:bookmarkEnd w:id="19"/>
      <w:bookmarkEnd w:id="20"/>
      <w:bookmarkEnd w:id="21"/>
      <w:bookmarkEnd w:id="22"/>
    </w:p>
    <w:sdt>
      <w:sdtPr>
        <w:rPr>
          <w:rFonts w:hint="eastAsia" w:ascii="宋体" w:hAnsi="Times New Roman" w:cs="Times New Roman"/>
          <w:kern w:val="0"/>
          <w:szCs w:val="20"/>
        </w:rPr>
        <w:id w:val="715848253"/>
        <w:placeholder>
          <w:docPart w:val="445C7F6F69B7D5499F0901A40E1399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Times New Roman" w:cs="Times New Roman"/>
          <w:kern w:val="0"/>
          <w:szCs w:val="20"/>
        </w:rPr>
      </w:sdtEndPr>
      <w:sdtContent>
        <w:p w14:paraId="145486B2">
          <w:pPr>
            <w:widowControl/>
            <w:autoSpaceDE w:val="0"/>
            <w:autoSpaceDN w:val="0"/>
            <w:ind w:firstLine="420" w:firstLineChars="200"/>
            <w:rPr>
              <w:rFonts w:ascii="宋体" w:hAnsi="Times New Roman" w:cs="Times New Roman"/>
              <w:kern w:val="0"/>
              <w:szCs w:val="20"/>
            </w:rPr>
          </w:pPr>
          <w:r>
            <w:rPr>
              <w:rFonts w:hint="eastAsia" w:ascii="宋体" w:hAnsi="Times New Roman" w:cs="Times New Roman"/>
              <w:kern w:val="0"/>
              <w:szCs w:val="20"/>
            </w:rPr>
            <w:t>本文件没有规范性引用文件。</w:t>
          </w:r>
        </w:p>
      </w:sdtContent>
    </w:sdt>
    <w:p w14:paraId="5053DB28">
      <w:pPr>
        <w:pStyle w:val="106"/>
        <w:numPr>
          <w:ilvl w:val="0"/>
          <w:numId w:val="35"/>
        </w:numPr>
        <w:spacing w:before="240" w:after="240"/>
        <w:ind w:left="0" w:firstLine="0"/>
      </w:pPr>
      <w:bookmarkStart w:id="23" w:name="_Toc192922908"/>
      <w:r>
        <w:rPr>
          <w:rFonts w:hint="eastAsia"/>
        </w:rPr>
        <w:t>术语和定义</w:t>
      </w:r>
      <w:bookmarkEnd w:id="23"/>
    </w:p>
    <w:sdt>
      <w:sdtPr>
        <w:rPr>
          <w:rFonts w:hint="eastAsia" w:ascii="宋体" w:hAnsi="Times New Roman" w:cs="Times New Roman"/>
          <w:kern w:val="0"/>
          <w:szCs w:val="20"/>
        </w:rPr>
        <w:id w:val="-1909835108"/>
        <w:placeholder>
          <w:docPart w:val="4B93AE804ED468499202783A090C6D8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Times New Roman" w:cs="Times New Roman"/>
          <w:kern w:val="0"/>
          <w:szCs w:val="20"/>
        </w:rPr>
      </w:sdtEndPr>
      <w:sdtContent>
        <w:p w14:paraId="6708A4C1">
          <w:pPr>
            <w:widowControl/>
            <w:autoSpaceDE w:val="0"/>
            <w:autoSpaceDN w:val="0"/>
            <w:ind w:firstLine="424" w:firstLineChars="202"/>
            <w:rPr>
              <w:rFonts w:ascii="宋体" w:hAnsi="Times New Roman" w:cs="Times New Roman"/>
              <w:kern w:val="0"/>
              <w:szCs w:val="20"/>
            </w:rPr>
          </w:pPr>
          <w:bookmarkStart w:id="24" w:name="_Toc26986532"/>
          <w:bookmarkEnd w:id="24"/>
          <w:r>
            <w:rPr>
              <w:rFonts w:hint="eastAsia" w:ascii="宋体" w:hAnsi="Times New Roman" w:cs="Times New Roman"/>
              <w:kern w:val="0"/>
              <w:szCs w:val="20"/>
            </w:rPr>
            <w:t>下列术语和定义适用于本文件。</w:t>
          </w:r>
        </w:p>
      </w:sdtContent>
    </w:sdt>
    <w:p w14:paraId="6F316509">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25" w:name="_Toc177989547"/>
      <w:bookmarkEnd w:id="25"/>
      <w:bookmarkStart w:id="26" w:name="_Toc185098751"/>
      <w:bookmarkEnd w:id="26"/>
      <w:bookmarkStart w:id="27" w:name="_Toc177283173"/>
      <w:bookmarkEnd w:id="27"/>
      <w:bookmarkStart w:id="28" w:name="_Toc177279716"/>
      <w:bookmarkEnd w:id="28"/>
    </w:p>
    <w:p w14:paraId="175F50C9">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消费品</w:t>
      </w:r>
      <w:r>
        <w:rPr>
          <w:rFonts w:ascii="黑体" w:hAnsi="黑体" w:eastAsia="黑体" w:cs="Times New Roman"/>
          <w:color w:val="000000"/>
          <w:kern w:val="0"/>
          <w:szCs w:val="21"/>
        </w:rPr>
        <w:t xml:space="preserve"> </w:t>
      </w:r>
      <w:r>
        <w:rPr>
          <w:rFonts w:hint="eastAsia" w:ascii="黑体" w:hAnsi="黑体" w:eastAsia="黑体" w:cs="Times New Roman"/>
          <w:color w:val="000000"/>
          <w:kern w:val="0"/>
          <w:szCs w:val="21"/>
        </w:rPr>
        <w:t>con</w:t>
      </w:r>
      <w:r>
        <w:rPr>
          <w:rFonts w:ascii="黑体" w:hAnsi="黑体" w:eastAsia="黑体" w:cs="Times New Roman"/>
          <w:color w:val="000000"/>
          <w:kern w:val="0"/>
          <w:szCs w:val="21"/>
        </w:rPr>
        <w:t>sumer produce</w:t>
      </w:r>
    </w:p>
    <w:p w14:paraId="6173FE70">
      <w:pPr>
        <w:widowControl/>
        <w:ind w:firstLine="420"/>
        <w:jc w:val="left"/>
        <w:rPr>
          <w:rFonts w:ascii="Times New Roman" w:hAnsi="Times New Roman" w:cs="Times New Roman"/>
          <w:kern w:val="0"/>
          <w:szCs w:val="21"/>
        </w:rPr>
      </w:pPr>
      <w:r>
        <w:rPr>
          <w:rFonts w:hint="eastAsia" w:ascii="Times New Roman" w:hAnsi="Times New Roman" w:cs="Times New Roman"/>
          <w:kern w:val="0"/>
          <w:szCs w:val="21"/>
        </w:rPr>
        <w:t>主要但不限于为个人使用而设计、生产的产品，包括产品的组件、零部件、附件、使用说明和包装。</w:t>
      </w:r>
    </w:p>
    <w:p w14:paraId="61AB0F30">
      <w:pPr>
        <w:widowControl/>
        <w:ind w:firstLine="420" w:firstLineChars="200"/>
        <w:jc w:val="left"/>
        <w:rPr>
          <w:rFonts w:ascii="宋体" w:hAnsi="宋体" w:cs="宋体"/>
          <w:kern w:val="0"/>
          <w:szCs w:val="21"/>
        </w:rPr>
      </w:pPr>
      <w:r>
        <w:rPr>
          <w:rFonts w:hint="eastAsia" w:ascii="宋体" w:hAnsi="宋体" w:cs="宋体"/>
          <w:kern w:val="0"/>
          <w:szCs w:val="21"/>
        </w:rPr>
        <w:t>[来源：GB/T</w:t>
      </w:r>
      <w:r>
        <w:rPr>
          <w:rFonts w:ascii="宋体" w:hAnsi="宋体" w:cs="宋体"/>
          <w:kern w:val="0"/>
          <w:szCs w:val="21"/>
        </w:rPr>
        <w:t xml:space="preserve"> 35248-2017</w:t>
      </w:r>
      <w:r>
        <w:rPr>
          <w:rFonts w:hint="eastAsia" w:ascii="宋体" w:hAnsi="宋体" w:cs="宋体"/>
          <w:kern w:val="0"/>
          <w:szCs w:val="21"/>
        </w:rPr>
        <w:t>，2</w:t>
      </w:r>
      <w:r>
        <w:rPr>
          <w:rFonts w:ascii="宋体" w:hAnsi="宋体" w:cs="宋体"/>
          <w:kern w:val="0"/>
          <w:szCs w:val="21"/>
        </w:rPr>
        <w:t>.2</w:t>
      </w:r>
      <w:r>
        <w:rPr>
          <w:rFonts w:hint="eastAsia" w:ascii="宋体" w:hAnsi="宋体" w:cs="宋体"/>
          <w:kern w:val="0"/>
          <w:szCs w:val="21"/>
        </w:rPr>
        <w:t>]</w:t>
      </w:r>
    </w:p>
    <w:p w14:paraId="535F49A1">
      <w:pPr>
        <w:pStyle w:val="232"/>
        <w:numPr>
          <w:ilvl w:val="0"/>
          <w:numId w:val="36"/>
        </w:numPr>
        <w:spacing w:before="120" w:beforeLines="50" w:after="120" w:afterLines="50"/>
        <w:outlineLvl w:val="2"/>
        <w:rPr>
          <w:rFonts w:ascii="黑体" w:hAnsi="黑体" w:eastAsia="黑体" w:cs="Times New Roman"/>
          <w:color w:val="000000"/>
          <w:sz w:val="21"/>
          <w:szCs w:val="21"/>
        </w:rPr>
      </w:pPr>
    </w:p>
    <w:p w14:paraId="20A848B9">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鉴定 </w:t>
      </w:r>
      <w:r>
        <w:rPr>
          <w:rFonts w:ascii="黑体" w:hAnsi="黑体" w:eastAsia="黑体" w:cs="Times New Roman"/>
          <w:color w:val="000000"/>
          <w:kern w:val="0"/>
          <w:szCs w:val="21"/>
        </w:rPr>
        <w:t>appraisal</w:t>
      </w:r>
    </w:p>
    <w:p w14:paraId="0F29F4A4">
      <w:pPr>
        <w:widowControl/>
        <w:ind w:firstLine="420"/>
        <w:jc w:val="left"/>
        <w:rPr>
          <w:rFonts w:ascii="Times New Roman" w:hAnsi="Times New Roman" w:cs="Times New Roman"/>
          <w:kern w:val="0"/>
          <w:szCs w:val="21"/>
        </w:rPr>
      </w:pPr>
      <w:r>
        <w:rPr>
          <w:rFonts w:hint="eastAsia" w:ascii="Times New Roman" w:hAnsi="Times New Roman" w:cs="Times New Roman"/>
          <w:kern w:val="0"/>
          <w:szCs w:val="21"/>
        </w:rPr>
        <w:t>通过技术手段按照规定的程序</w:t>
      </w:r>
      <w:r>
        <w:rPr>
          <w:rFonts w:ascii="Times New Roman" w:hAnsi="Times New Roman" w:cs="Times New Roman"/>
          <w:kern w:val="0"/>
          <w:szCs w:val="21"/>
        </w:rPr>
        <w:t>识别可疑假冒产品</w:t>
      </w:r>
      <w:r>
        <w:rPr>
          <w:rFonts w:hint="eastAsia" w:ascii="Times New Roman" w:hAnsi="Times New Roman" w:cs="Times New Roman"/>
          <w:kern w:val="0"/>
          <w:szCs w:val="21"/>
        </w:rPr>
        <w:t>或正品的活动。</w:t>
      </w:r>
    </w:p>
    <w:p w14:paraId="02456543">
      <w:pPr>
        <w:pStyle w:val="232"/>
        <w:numPr>
          <w:ilvl w:val="0"/>
          <w:numId w:val="36"/>
        </w:numPr>
        <w:spacing w:before="120" w:beforeLines="50" w:after="120" w:afterLines="50"/>
        <w:outlineLvl w:val="2"/>
        <w:rPr>
          <w:rFonts w:ascii="黑体" w:hAnsi="黑体" w:eastAsia="黑体" w:cs="Times New Roman"/>
          <w:color w:val="000000"/>
          <w:sz w:val="21"/>
          <w:szCs w:val="21"/>
        </w:rPr>
      </w:pPr>
    </w:p>
    <w:p w14:paraId="658EFFF3">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鉴定机构appraisal institutions</w:t>
      </w:r>
    </w:p>
    <w:p w14:paraId="42AB07F5">
      <w:pPr>
        <w:widowControl/>
        <w:autoSpaceDE w:val="0"/>
        <w:autoSpaceDN w:val="0"/>
        <w:ind w:firstLine="420" w:firstLineChars="200"/>
        <w:rPr>
          <w:rFonts w:ascii="Times New Roman" w:hAnsi="Times New Roman" w:cs="Times New Roman"/>
          <w:kern w:val="0"/>
          <w:szCs w:val="21"/>
        </w:rPr>
      </w:pPr>
      <w:r>
        <w:rPr>
          <w:rFonts w:hint="eastAsia" w:ascii="宋体" w:hAnsi="Times New Roman" w:cs="Times New Roman"/>
          <w:kern w:val="0"/>
          <w:szCs w:val="24"/>
        </w:rPr>
        <w:t>依法成立，利用仪器设备、环境设施等技术条件和专业技能，对产品或者其他特定对象进行检验鉴定的专业技术组织</w:t>
      </w:r>
      <w:r>
        <w:rPr>
          <w:rFonts w:ascii="Times New Roman" w:hAnsi="Times New Roman" w:cs="Times New Roman"/>
          <w:kern w:val="0"/>
          <w:szCs w:val="21"/>
        </w:rPr>
        <w:t>。</w:t>
      </w:r>
    </w:p>
    <w:p w14:paraId="13E815AE">
      <w:pPr>
        <w:pStyle w:val="232"/>
        <w:numPr>
          <w:ilvl w:val="0"/>
          <w:numId w:val="36"/>
        </w:numPr>
        <w:spacing w:before="120" w:beforeLines="50" w:after="120" w:afterLines="50"/>
        <w:outlineLvl w:val="2"/>
        <w:rPr>
          <w:rFonts w:ascii="黑体" w:hAnsi="黑体" w:eastAsia="黑体" w:cs="Times New Roman"/>
          <w:color w:val="000000"/>
          <w:sz w:val="21"/>
          <w:szCs w:val="21"/>
        </w:rPr>
      </w:pPr>
      <w:bookmarkStart w:id="29" w:name="_Toc177283176"/>
      <w:bookmarkEnd w:id="29"/>
      <w:bookmarkStart w:id="30" w:name="_Toc177279718"/>
      <w:bookmarkEnd w:id="30"/>
      <w:bookmarkStart w:id="31" w:name="_Toc177279719"/>
      <w:bookmarkEnd w:id="31"/>
      <w:bookmarkStart w:id="32" w:name="_Toc177989549"/>
      <w:bookmarkEnd w:id="32"/>
      <w:bookmarkStart w:id="33" w:name="_Toc177283175"/>
      <w:bookmarkEnd w:id="33"/>
    </w:p>
    <w:p w14:paraId="7E23CDF1">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品牌brand</w:t>
      </w:r>
    </w:p>
    <w:p w14:paraId="410C121E">
      <w:pPr>
        <w:widowControl/>
        <w:ind w:firstLine="420"/>
        <w:rPr>
          <w:rFonts w:ascii="Times New Roman" w:hAnsi="Times New Roman" w:cs="Times New Roman"/>
          <w:kern w:val="0"/>
          <w:szCs w:val="21"/>
        </w:rPr>
      </w:pPr>
      <w:r>
        <w:rPr>
          <w:rFonts w:hint="eastAsia" w:ascii="Times New Roman" w:hAnsi="Times New Roman" w:cs="Times New Roman"/>
          <w:kern w:val="0"/>
          <w:szCs w:val="21"/>
        </w:rPr>
        <w:t>与营销相关的无形资产，囊括但是不限定于名称，词组，标记，符号，设计或是它们互相组合用以识别某个销售者或某群销售者的产品或服务，并使之与竞争对手的产品和服务相区别，在利益相关者头脑中留下独特的印象，或相关感受，从而产生经济效益及价值。</w:t>
      </w:r>
    </w:p>
    <w:p w14:paraId="38B08E52">
      <w:pPr>
        <w:ind w:firstLine="420" w:firstLineChars="200"/>
        <w:rPr>
          <w:rFonts w:ascii="宋体" w:hAnsi="宋体" w:cs="Times New Roman"/>
        </w:rPr>
      </w:pPr>
      <w:r>
        <w:rPr>
          <w:rFonts w:hint="eastAsia" w:cs="Times New Roman"/>
        </w:rPr>
        <w:t>[来源</w:t>
      </w:r>
      <w:r>
        <w:rPr>
          <w:rFonts w:hint="eastAsia" w:ascii="宋体" w:hAnsi="宋体" w:cs="Times New Roman"/>
        </w:rPr>
        <w:t>：ISO</w:t>
      </w:r>
      <w:r>
        <w:rPr>
          <w:rFonts w:ascii="宋体" w:hAnsi="宋体" w:cs="Times New Roman"/>
        </w:rPr>
        <w:t xml:space="preserve"> 20671-1:2021</w:t>
      </w:r>
      <w:r>
        <w:rPr>
          <w:rFonts w:hint="eastAsia" w:ascii="宋体" w:hAnsi="宋体" w:cs="Times New Roman"/>
        </w:rPr>
        <w:t>，</w:t>
      </w:r>
      <w:r>
        <w:rPr>
          <w:rFonts w:ascii="宋体" w:hAnsi="宋体" w:cs="Times New Roman"/>
        </w:rPr>
        <w:t>3.1</w:t>
      </w:r>
      <w:r>
        <w:rPr>
          <w:rFonts w:hint="eastAsia" w:ascii="宋体" w:hAnsi="宋体" w:cs="Times New Roman"/>
        </w:rPr>
        <w:t>]</w:t>
      </w:r>
    </w:p>
    <w:p w14:paraId="6E7F3433">
      <w:pPr>
        <w:pStyle w:val="232"/>
        <w:numPr>
          <w:ilvl w:val="0"/>
          <w:numId w:val="36"/>
        </w:numPr>
        <w:spacing w:before="120" w:beforeLines="50" w:after="120" w:afterLines="50"/>
        <w:outlineLvl w:val="2"/>
        <w:rPr>
          <w:rFonts w:ascii="黑体" w:hAnsi="黑体" w:eastAsia="黑体" w:cs="Times New Roman"/>
          <w:color w:val="000000"/>
          <w:sz w:val="21"/>
          <w:szCs w:val="21"/>
        </w:rPr>
      </w:pPr>
    </w:p>
    <w:p w14:paraId="6A7E67D3">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仿冒品counterfeit product</w:t>
      </w:r>
    </w:p>
    <w:p w14:paraId="5BBEAB9D">
      <w:pPr>
        <w:widowControl/>
        <w:autoSpaceDE w:val="0"/>
        <w:autoSpaceDN w:val="0"/>
        <w:ind w:firstLine="420" w:firstLineChars="200"/>
        <w:rPr>
          <w:rFonts w:ascii="宋体" w:hAnsi="Times New Roman" w:cs="Times New Roman"/>
          <w:kern w:val="0"/>
          <w:szCs w:val="24"/>
        </w:rPr>
      </w:pPr>
      <w:r>
        <w:rPr>
          <w:rFonts w:hint="eastAsia" w:ascii="宋体" w:hAnsi="Times New Roman" w:cs="Times New Roman"/>
          <w:kern w:val="0"/>
          <w:szCs w:val="24"/>
        </w:rPr>
        <w:t>由非正规供应商生产，或经未授权渠道提供，并被包装为合法正规产品。</w:t>
      </w:r>
    </w:p>
    <w:p w14:paraId="5092D960">
      <w:pPr>
        <w:ind w:firstLine="420" w:firstLineChars="200"/>
        <w:rPr>
          <w:rFonts w:ascii="宋体" w:hAnsi="宋体" w:cs="Times New Roman"/>
        </w:rPr>
      </w:pPr>
      <w:r>
        <w:rPr>
          <w:rFonts w:hint="eastAsia" w:ascii="宋体" w:hAnsi="宋体" w:cs="Times New Roman"/>
        </w:rPr>
        <w:t>[</w:t>
      </w:r>
      <w:r>
        <w:rPr>
          <w:rFonts w:hint="eastAsia" w:cs="Times New Roman"/>
        </w:rPr>
        <w:t>来源</w:t>
      </w:r>
      <w:r>
        <w:rPr>
          <w:rFonts w:hint="eastAsia" w:ascii="宋体" w:hAnsi="宋体" w:cs="Times New Roman"/>
        </w:rPr>
        <w:t>：</w:t>
      </w:r>
      <w:r>
        <w:rPr>
          <w:rFonts w:ascii="宋体" w:hAnsi="宋体" w:cs="Times New Roman"/>
        </w:rPr>
        <w:t>ISO/IEC 20243-1:2023</w:t>
      </w:r>
      <w:r>
        <w:rPr>
          <w:rFonts w:hint="eastAsia" w:ascii="宋体" w:hAnsi="宋体" w:cs="Times New Roman"/>
        </w:rPr>
        <w:t>，</w:t>
      </w:r>
      <w:r>
        <w:rPr>
          <w:rFonts w:ascii="宋体" w:hAnsi="宋体" w:cs="Times New Roman"/>
        </w:rPr>
        <w:t>3.14</w:t>
      </w:r>
      <w:r>
        <w:rPr>
          <w:rFonts w:hint="eastAsia" w:ascii="宋体" w:hAnsi="宋体" w:cs="Times New Roman"/>
        </w:rPr>
        <w:t>]</w:t>
      </w:r>
    </w:p>
    <w:p w14:paraId="0AAF7E58">
      <w:pPr>
        <w:pStyle w:val="232"/>
        <w:numPr>
          <w:ilvl w:val="0"/>
          <w:numId w:val="36"/>
        </w:numPr>
        <w:spacing w:before="120" w:beforeLines="50" w:after="120" w:afterLines="50"/>
        <w:outlineLvl w:val="2"/>
        <w:rPr>
          <w:rFonts w:ascii="黑体" w:hAnsi="黑体" w:eastAsia="黑体" w:cs="Times New Roman"/>
          <w:color w:val="000000"/>
          <w:sz w:val="21"/>
          <w:szCs w:val="21"/>
        </w:rPr>
      </w:pPr>
    </w:p>
    <w:p w14:paraId="7D43A062">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产品标识 label</w:t>
      </w:r>
    </w:p>
    <w:p w14:paraId="72246F13">
      <w:pPr>
        <w:widowControl/>
        <w:autoSpaceDE w:val="0"/>
        <w:autoSpaceDN w:val="0"/>
        <w:ind w:firstLine="420" w:firstLineChars="200"/>
        <w:rPr>
          <w:rFonts w:ascii="宋体" w:hAnsi="Times New Roman" w:cs="Times New Roman"/>
          <w:kern w:val="0"/>
          <w:szCs w:val="24"/>
        </w:rPr>
      </w:pPr>
      <w:r>
        <w:rPr>
          <w:rFonts w:hint="eastAsia" w:ascii="宋体" w:hAnsi="Times New Roman" w:cs="Times New Roman"/>
          <w:kern w:val="0"/>
          <w:szCs w:val="24"/>
        </w:rPr>
        <w:t>产品上加贴或悬挂显示的信息</w:t>
      </w:r>
    </w:p>
    <w:p w14:paraId="0880ACB1">
      <w:pPr>
        <w:widowControl/>
        <w:autoSpaceDE w:val="0"/>
        <w:autoSpaceDN w:val="0"/>
        <w:ind w:firstLine="420" w:firstLineChars="200"/>
        <w:rPr>
          <w:rFonts w:ascii="宋体" w:hAnsi="Times New Roman" w:cs="Times New Roman"/>
          <w:kern w:val="0"/>
          <w:szCs w:val="24"/>
        </w:rPr>
      </w:pPr>
      <w:r>
        <w:rPr>
          <w:rFonts w:hint="eastAsia" w:ascii="宋体" w:hAnsi="Times New Roman" w:cs="Times New Roman"/>
          <w:kern w:val="0"/>
          <w:szCs w:val="24"/>
        </w:rPr>
        <w:t>示例：以标志、贴纸、印刷、标签等形式显示的产品相关信息。</w:t>
      </w:r>
    </w:p>
    <w:p w14:paraId="2A7CF1C8">
      <w:pPr>
        <w:ind w:firstLine="420" w:firstLineChars="200"/>
        <w:rPr>
          <w:rFonts w:ascii="宋体" w:hAnsi="宋体" w:cs="Times New Roman"/>
        </w:rPr>
      </w:pPr>
      <w:r>
        <w:rPr>
          <w:rFonts w:hint="eastAsia" w:ascii="宋体" w:hAnsi="宋体" w:cs="Times New Roman"/>
        </w:rPr>
        <w:t>[</w:t>
      </w:r>
      <w:r>
        <w:rPr>
          <w:rFonts w:hint="eastAsia" w:cs="Times New Roman"/>
        </w:rPr>
        <w:t>来源</w:t>
      </w:r>
      <w:r>
        <w:rPr>
          <w:rFonts w:hint="eastAsia" w:ascii="宋体" w:hAnsi="宋体" w:cs="Times New Roman"/>
        </w:rPr>
        <w:t>：</w:t>
      </w:r>
      <w:r>
        <w:rPr>
          <w:rFonts w:ascii="宋体" w:hAnsi="宋体" w:cs="Times New Roman"/>
        </w:rPr>
        <w:t>ISO 21041:2018</w:t>
      </w:r>
      <w:r>
        <w:rPr>
          <w:rFonts w:hint="eastAsia" w:ascii="宋体" w:hAnsi="宋体" w:cs="Times New Roman"/>
        </w:rPr>
        <w:t>，</w:t>
      </w:r>
      <w:r>
        <w:rPr>
          <w:rFonts w:ascii="宋体" w:hAnsi="宋体" w:cs="Times New Roman"/>
        </w:rPr>
        <w:t>3.3</w:t>
      </w:r>
      <w:r>
        <w:rPr>
          <w:rFonts w:hint="eastAsia" w:ascii="宋体" w:hAnsi="宋体" w:cs="Times New Roman"/>
        </w:rPr>
        <w:t>]</w:t>
      </w:r>
    </w:p>
    <w:p w14:paraId="17E52D52">
      <w:pPr>
        <w:pStyle w:val="232"/>
        <w:numPr>
          <w:ilvl w:val="0"/>
          <w:numId w:val="36"/>
        </w:numPr>
        <w:spacing w:before="120" w:beforeLines="50" w:after="120" w:afterLines="50"/>
        <w:outlineLvl w:val="2"/>
        <w:rPr>
          <w:rFonts w:ascii="黑体" w:hAnsi="黑体" w:eastAsia="黑体" w:cs="Times New Roman"/>
          <w:color w:val="000000"/>
          <w:sz w:val="21"/>
          <w:szCs w:val="21"/>
        </w:rPr>
      </w:pPr>
    </w:p>
    <w:p w14:paraId="1EE6A3C8">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送检样品 </w:t>
      </w:r>
      <w:r>
        <w:rPr>
          <w:rFonts w:ascii="黑体" w:hAnsi="黑体" w:eastAsia="黑体" w:cs="Times New Roman"/>
          <w:color w:val="000000"/>
          <w:kern w:val="0"/>
          <w:szCs w:val="21"/>
        </w:rPr>
        <w:t>test sample</w:t>
      </w:r>
    </w:p>
    <w:p w14:paraId="24C831C0">
      <w:pPr>
        <w:widowControl/>
        <w:autoSpaceDE w:val="0"/>
        <w:autoSpaceDN w:val="0"/>
        <w:ind w:firstLine="420" w:firstLineChars="200"/>
        <w:rPr>
          <w:rFonts w:ascii="宋体" w:hAnsi="Times New Roman" w:cs="Times New Roman"/>
          <w:kern w:val="0"/>
          <w:szCs w:val="24"/>
        </w:rPr>
      </w:pPr>
      <w:r>
        <w:rPr>
          <w:rFonts w:hint="eastAsia" w:ascii="宋体" w:hAnsi="Times New Roman" w:cs="Times New Roman"/>
          <w:kern w:val="0"/>
          <w:szCs w:val="24"/>
        </w:rPr>
        <w:t>需要通过鉴定程序得出鉴定结论的品牌消费品样品。</w:t>
      </w:r>
    </w:p>
    <w:p w14:paraId="248AF711">
      <w:pPr>
        <w:pStyle w:val="232"/>
        <w:numPr>
          <w:ilvl w:val="0"/>
          <w:numId w:val="36"/>
        </w:numPr>
        <w:spacing w:before="120" w:beforeLines="50" w:after="120" w:afterLines="50"/>
        <w:outlineLvl w:val="2"/>
        <w:rPr>
          <w:rFonts w:ascii="黑体" w:hAnsi="黑体" w:eastAsia="黑体" w:cs="Times New Roman"/>
          <w:color w:val="000000"/>
          <w:sz w:val="21"/>
          <w:szCs w:val="21"/>
        </w:rPr>
      </w:pPr>
    </w:p>
    <w:p w14:paraId="7FB63D90">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对比样品 </w:t>
      </w:r>
      <w:r>
        <w:rPr>
          <w:rFonts w:ascii="黑体" w:hAnsi="黑体" w:eastAsia="黑体" w:cs="Times New Roman"/>
          <w:color w:val="000000"/>
          <w:kern w:val="0"/>
          <w:szCs w:val="21"/>
        </w:rPr>
        <w:t>r</w:t>
      </w:r>
      <w:r>
        <w:rPr>
          <w:rFonts w:hint="eastAsia" w:ascii="黑体" w:hAnsi="黑体" w:eastAsia="黑体" w:cs="Times New Roman"/>
          <w:color w:val="000000"/>
          <w:kern w:val="0"/>
          <w:szCs w:val="21"/>
        </w:rPr>
        <w:t xml:space="preserve">eference sample </w:t>
      </w:r>
    </w:p>
    <w:p w14:paraId="5A148C00">
      <w:pPr>
        <w:widowControl/>
        <w:autoSpaceDE w:val="0"/>
        <w:autoSpaceDN w:val="0"/>
        <w:ind w:firstLine="420" w:firstLineChars="200"/>
        <w:rPr>
          <w:rFonts w:ascii="宋体" w:hAnsi="Times New Roman" w:cs="Times New Roman"/>
          <w:kern w:val="0"/>
          <w:szCs w:val="24"/>
        </w:rPr>
      </w:pPr>
      <w:r>
        <w:rPr>
          <w:rFonts w:hint="eastAsia" w:ascii="宋体" w:hAnsi="Times New Roman" w:cs="Times New Roman"/>
          <w:kern w:val="0"/>
          <w:szCs w:val="24"/>
        </w:rPr>
        <w:t>通过送检样品标识的品牌，从品牌商官方渠道获得同一货号同颜色的正品实物。</w:t>
      </w:r>
    </w:p>
    <w:p w14:paraId="29BB0967">
      <w:pPr>
        <w:widowControl/>
        <w:autoSpaceDE w:val="0"/>
        <w:autoSpaceDN w:val="0"/>
        <w:ind w:firstLine="360" w:firstLineChars="200"/>
        <w:rPr>
          <w:rFonts w:ascii="宋体" w:hAnsi="Times New Roman" w:cs="Times New Roman"/>
          <w:kern w:val="0"/>
          <w:sz w:val="18"/>
          <w:szCs w:val="18"/>
        </w:rPr>
      </w:pPr>
      <w:r>
        <w:rPr>
          <w:rFonts w:hint="eastAsia" w:ascii="黑体" w:hAnsi="黑体" w:eastAsia="黑体" w:cs="Times New Roman"/>
          <w:kern w:val="0"/>
          <w:sz w:val="18"/>
          <w:szCs w:val="18"/>
        </w:rPr>
        <w:t>注 1：</w:t>
      </w:r>
      <w:r>
        <w:rPr>
          <w:rFonts w:hint="eastAsia" w:ascii="宋体" w:hAnsi="Times New Roman" w:cs="Times New Roman"/>
          <w:kern w:val="0"/>
          <w:sz w:val="18"/>
          <w:szCs w:val="18"/>
        </w:rPr>
        <w:t>如无法获得正品实物，通过品牌皮具官网对公示信息选择适当的采集（如下载、截图等），设置适当条件和保存格式，进行高质量数字化采集，形成正品信息文件。正品信息文件可作为对比样品。</w:t>
      </w:r>
    </w:p>
    <w:p w14:paraId="48B756C8">
      <w:pPr>
        <w:widowControl/>
        <w:autoSpaceDE w:val="0"/>
        <w:autoSpaceDN w:val="0"/>
        <w:ind w:firstLine="360" w:firstLineChars="200"/>
        <w:rPr>
          <w:rFonts w:ascii="宋体" w:hAnsi="Times New Roman" w:cs="Times New Roman"/>
          <w:kern w:val="0"/>
          <w:sz w:val="18"/>
          <w:szCs w:val="18"/>
        </w:rPr>
      </w:pPr>
      <w:r>
        <w:rPr>
          <w:rFonts w:hint="eastAsia" w:ascii="黑体" w:hAnsi="黑体" w:eastAsia="黑体" w:cs="Times New Roman"/>
          <w:kern w:val="0"/>
          <w:sz w:val="18"/>
          <w:szCs w:val="18"/>
        </w:rPr>
        <w:t>注 2：</w:t>
      </w:r>
      <w:r>
        <w:rPr>
          <w:rFonts w:hint="eastAsia" w:ascii="宋体" w:hAnsi="Times New Roman" w:cs="Times New Roman"/>
          <w:kern w:val="0"/>
          <w:sz w:val="18"/>
          <w:szCs w:val="18"/>
        </w:rPr>
        <w:t>对于无法通过以上渠道获取正品实物或正品信息文件的，需向品牌商咨询和开展市场调查，形成正品调研文件。正品调研文件可作为对比样品。</w:t>
      </w:r>
    </w:p>
    <w:p w14:paraId="3C9CE876">
      <w:pPr>
        <w:widowControl/>
        <w:autoSpaceDE w:val="0"/>
        <w:autoSpaceDN w:val="0"/>
        <w:rPr>
          <w:rFonts w:ascii="宋体" w:hAnsi="Times New Roman" w:cs="Times New Roman"/>
          <w:kern w:val="0"/>
          <w:sz w:val="18"/>
          <w:szCs w:val="18"/>
        </w:rPr>
      </w:pPr>
    </w:p>
    <w:p w14:paraId="68EE2437">
      <w:pPr>
        <w:pStyle w:val="106"/>
        <w:numPr>
          <w:ilvl w:val="0"/>
          <w:numId w:val="35"/>
        </w:numPr>
        <w:spacing w:before="240" w:after="240"/>
      </w:pPr>
      <w:bookmarkStart w:id="34" w:name="_Toc177283184"/>
      <w:bookmarkEnd w:id="34"/>
      <w:bookmarkStart w:id="35" w:name="_Toc177279727"/>
      <w:bookmarkEnd w:id="35"/>
      <w:bookmarkStart w:id="36" w:name="_Toc177989558"/>
      <w:bookmarkEnd w:id="36"/>
      <w:r>
        <w:rPr>
          <w:rFonts w:hint="eastAsia"/>
        </w:rPr>
        <w:t>鉴定机构</w:t>
      </w:r>
    </w:p>
    <w:p w14:paraId="7930C749">
      <w:pPr>
        <w:pStyle w:val="107"/>
        <w:numPr>
          <w:ilvl w:val="1"/>
          <w:numId w:val="37"/>
        </w:numPr>
        <w:spacing w:before="120" w:after="120"/>
        <w:rPr>
          <w:rFonts w:hAnsi="黑体"/>
          <w:color w:val="FF0000"/>
          <w:szCs w:val="21"/>
        </w:rPr>
      </w:pPr>
      <w:r>
        <w:rPr>
          <w:rFonts w:hint="eastAsia"/>
          <w:color w:val="FF0000"/>
        </w:rPr>
        <w:t>鉴定机构基本要求</w:t>
      </w:r>
    </w:p>
    <w:p w14:paraId="4161408B">
      <w:pPr>
        <w:widowControl/>
        <w:autoSpaceDE w:val="0"/>
        <w:autoSpaceDN w:val="0"/>
        <w:ind w:firstLine="400" w:firstLineChars="200"/>
        <w:rPr>
          <w:rFonts w:ascii="宋体" w:hAnsi="Times New Roman" w:cs="Times New Roman"/>
          <w:kern w:val="0"/>
          <w:sz w:val="20"/>
          <w:szCs w:val="18"/>
        </w:rPr>
      </w:pPr>
      <w:r>
        <w:rPr>
          <w:rFonts w:hint="eastAsia" w:ascii="宋体" w:hAnsi="Times New Roman" w:cs="Times New Roman"/>
          <w:kern w:val="0"/>
          <w:sz w:val="20"/>
          <w:szCs w:val="18"/>
        </w:rPr>
        <w:t>鉴定机构需依法注册，具备独立法人资格。获得相关品牌、行业或政府部门的资质认证。并在接受相关国家单位、行业组织的监管和培训，具备相应资格证书后开展鉴定工作。机构应定期接受监督审核，以确保其持续符合资质要求。同时机构还应不断更新其鉴定标准、技术和方法，以保持其专业性和竞争力。</w:t>
      </w:r>
    </w:p>
    <w:p w14:paraId="21839A3D">
      <w:pPr>
        <w:widowControl/>
        <w:autoSpaceDE w:val="0"/>
        <w:autoSpaceDN w:val="0"/>
        <w:ind w:firstLine="400" w:firstLineChars="200"/>
        <w:rPr>
          <w:rFonts w:ascii="宋体" w:hAnsi="Times New Roman" w:cs="Times New Roman"/>
          <w:kern w:val="0"/>
          <w:sz w:val="20"/>
          <w:szCs w:val="18"/>
        </w:rPr>
      </w:pPr>
      <w:r>
        <w:rPr>
          <w:rFonts w:hint="eastAsia" w:ascii="宋体" w:hAnsi="Times New Roman" w:cs="Times New Roman"/>
          <w:kern w:val="0"/>
          <w:sz w:val="20"/>
          <w:szCs w:val="18"/>
        </w:rPr>
        <w:t>配备专业的鉴定设备，如高倍显微镜、光谱仪、紫外线灯、放大镜等，用于检测材质、工艺和防伪标识等。设备仪器应经法定计量鉴定机构检定合格，且在鉴定有效期内。</w:t>
      </w:r>
    </w:p>
    <w:p w14:paraId="40CDAEAE">
      <w:pPr>
        <w:widowControl/>
        <w:autoSpaceDE w:val="0"/>
        <w:autoSpaceDN w:val="0"/>
        <w:ind w:firstLine="400" w:firstLineChars="200"/>
        <w:rPr>
          <w:rFonts w:ascii="宋体" w:hAnsi="Times New Roman" w:cs="Times New Roman"/>
          <w:kern w:val="0"/>
          <w:sz w:val="20"/>
          <w:szCs w:val="18"/>
        </w:rPr>
      </w:pPr>
      <w:r>
        <w:rPr>
          <w:rFonts w:hint="eastAsia" w:ascii="宋体" w:hAnsi="Times New Roman" w:cs="Times New Roman"/>
          <w:kern w:val="0"/>
          <w:sz w:val="20"/>
          <w:szCs w:val="18"/>
        </w:rPr>
        <w:t>具备符合相关标准的实验室或鉴定环境，并满足相关标准中对设</w:t>
      </w:r>
      <w:r>
        <w:rPr>
          <w:rFonts w:ascii="宋体" w:hAnsi="Times New Roman" w:cs="Times New Roman"/>
          <w:kern w:val="0"/>
          <w:sz w:val="20"/>
          <w:szCs w:val="18"/>
        </w:rPr>
        <w:t>施、设备、人员、鉴定方法、程序和记录以及管理体系等资源要求的规定。确保鉴定工作的科学性、准确性、规范性和公正性。</w:t>
      </w:r>
    </w:p>
    <w:p w14:paraId="32C1FF2A">
      <w:pPr>
        <w:widowControl/>
        <w:autoSpaceDE w:val="0"/>
        <w:autoSpaceDN w:val="0"/>
        <w:ind w:firstLine="400" w:firstLineChars="200"/>
        <w:rPr>
          <w:rFonts w:ascii="宋体" w:hAnsi="Times New Roman" w:cs="Times New Roman"/>
          <w:kern w:val="0"/>
          <w:sz w:val="20"/>
          <w:szCs w:val="18"/>
        </w:rPr>
      </w:pPr>
      <w:r>
        <w:rPr>
          <w:rFonts w:hint="eastAsia" w:ascii="宋体" w:hAnsi="Times New Roman" w:cs="Times New Roman"/>
          <w:kern w:val="0"/>
          <w:sz w:val="20"/>
          <w:szCs w:val="18"/>
        </w:rPr>
        <w:t>能够依据相关标准建立完善的鉴定流程和操作规范，确保鉴定结果的可重复性和可追溯性。</w:t>
      </w:r>
    </w:p>
    <w:p w14:paraId="6499F1F2">
      <w:pPr>
        <w:pStyle w:val="107"/>
        <w:numPr>
          <w:ilvl w:val="1"/>
          <w:numId w:val="37"/>
        </w:numPr>
        <w:spacing w:before="120" w:after="120"/>
        <w:ind w:left="0" w:firstLine="0"/>
        <w:rPr>
          <w:rFonts w:hAnsi="黑体"/>
          <w:szCs w:val="21"/>
        </w:rPr>
      </w:pPr>
      <w:r>
        <w:rPr>
          <w:rFonts w:hint="eastAsia"/>
        </w:rPr>
        <w:t>对比样品库</w:t>
      </w:r>
    </w:p>
    <w:p w14:paraId="63BB4E39">
      <w:pPr>
        <w:widowControl/>
        <w:autoSpaceDE w:val="0"/>
        <w:autoSpaceDN w:val="0"/>
        <w:ind w:firstLine="400" w:firstLineChars="200"/>
        <w:rPr>
          <w:rFonts w:ascii="宋体" w:hAnsi="Times New Roman" w:cs="Times New Roman"/>
          <w:kern w:val="0"/>
          <w:sz w:val="20"/>
          <w:szCs w:val="18"/>
        </w:rPr>
      </w:pPr>
      <w:r>
        <w:rPr>
          <w:rFonts w:ascii="宋体" w:hAnsi="Times New Roman" w:cs="Times New Roman"/>
          <w:kern w:val="0"/>
          <w:sz w:val="20"/>
          <w:szCs w:val="18"/>
        </w:rPr>
        <w:t>鉴定机构应建立全面的</w:t>
      </w:r>
      <w:r>
        <w:rPr>
          <w:rFonts w:hint="eastAsia" w:ascii="宋体" w:hAnsi="Times New Roman" w:cs="Times New Roman"/>
          <w:kern w:val="0"/>
          <w:sz w:val="20"/>
          <w:szCs w:val="18"/>
        </w:rPr>
        <w:t>对比</w:t>
      </w:r>
      <w:r>
        <w:rPr>
          <w:rFonts w:ascii="宋体" w:hAnsi="Times New Roman" w:cs="Times New Roman"/>
          <w:kern w:val="0"/>
          <w:sz w:val="20"/>
          <w:szCs w:val="18"/>
        </w:rPr>
        <w:t>样品库 （样品库），涵盖</w:t>
      </w:r>
      <w:r>
        <w:rPr>
          <w:rFonts w:hint="eastAsia" w:ascii="宋体" w:hAnsi="Times New Roman" w:cs="Times New Roman"/>
          <w:kern w:val="0"/>
          <w:sz w:val="20"/>
          <w:szCs w:val="18"/>
        </w:rPr>
        <w:t>营业范围内</w:t>
      </w:r>
      <w:r>
        <w:rPr>
          <w:rFonts w:ascii="宋体" w:hAnsi="Times New Roman" w:cs="Times New Roman"/>
          <w:kern w:val="0"/>
          <w:sz w:val="20"/>
          <w:szCs w:val="18"/>
        </w:rPr>
        <w:t>各类品牌及其产品系列。应按照品牌、类型、材质等分类存放</w:t>
      </w:r>
      <w:r>
        <w:rPr>
          <w:rFonts w:hint="eastAsia" w:ascii="宋体" w:hAnsi="Times New Roman" w:cs="Times New Roman"/>
          <w:kern w:val="0"/>
          <w:sz w:val="20"/>
          <w:szCs w:val="18"/>
        </w:rPr>
        <w:t>，做到数字化管理，</w:t>
      </w:r>
      <w:r>
        <w:rPr>
          <w:rFonts w:ascii="宋体" w:hAnsi="Times New Roman" w:cs="Times New Roman"/>
          <w:kern w:val="0"/>
          <w:sz w:val="20"/>
          <w:szCs w:val="18"/>
        </w:rPr>
        <w:t>便于快速检索和对比。</w:t>
      </w:r>
    </w:p>
    <w:p w14:paraId="19C9127A">
      <w:pPr>
        <w:widowControl/>
        <w:autoSpaceDE w:val="0"/>
        <w:autoSpaceDN w:val="0"/>
        <w:ind w:firstLine="400" w:firstLineChars="200"/>
        <w:rPr>
          <w:rFonts w:ascii="宋体" w:hAnsi="Times New Roman" w:cs="Times New Roman"/>
          <w:kern w:val="0"/>
          <w:sz w:val="20"/>
          <w:szCs w:val="18"/>
        </w:rPr>
      </w:pPr>
      <w:r>
        <w:rPr>
          <w:rFonts w:ascii="宋体" w:hAnsi="Times New Roman" w:cs="Times New Roman"/>
          <w:kern w:val="0"/>
          <w:sz w:val="20"/>
          <w:szCs w:val="18"/>
        </w:rPr>
        <w:t>每个样品库中对比样品都应有详细的档案记录，实物样品保留相应购买或获取信息，信息类文件和调研文件应保留详细来源。无论实物样品、信息类文件或调研文件都应附有品牌消费品</w:t>
      </w:r>
      <w:r>
        <w:rPr>
          <w:rFonts w:hint="eastAsia" w:ascii="宋体" w:hAnsi="Times New Roman" w:cs="Times New Roman"/>
          <w:kern w:val="0"/>
          <w:sz w:val="20"/>
          <w:szCs w:val="18"/>
        </w:rPr>
        <w:t>产品标识内容、品牌、型号、</w:t>
      </w:r>
      <w:r>
        <w:rPr>
          <w:rFonts w:ascii="宋体" w:hAnsi="Times New Roman" w:cs="Times New Roman"/>
          <w:kern w:val="0"/>
          <w:sz w:val="20"/>
          <w:szCs w:val="18"/>
        </w:rPr>
        <w:t>款式、工艺、材质、</w:t>
      </w:r>
      <w:r>
        <w:rPr>
          <w:rFonts w:hint="eastAsia" w:ascii="宋体" w:hAnsi="Times New Roman" w:cs="Times New Roman"/>
          <w:kern w:val="0"/>
          <w:sz w:val="20"/>
          <w:szCs w:val="18"/>
        </w:rPr>
        <w:t>购买渠道、价格、</w:t>
      </w:r>
      <w:r>
        <w:rPr>
          <w:rFonts w:ascii="宋体" w:hAnsi="Times New Roman" w:cs="Times New Roman"/>
          <w:kern w:val="0"/>
          <w:sz w:val="20"/>
          <w:szCs w:val="18"/>
        </w:rPr>
        <w:t>编码规则等文字信息，形成管理文件。</w:t>
      </w:r>
    </w:p>
    <w:p w14:paraId="3225A896">
      <w:pPr>
        <w:widowControl/>
        <w:autoSpaceDE w:val="0"/>
        <w:autoSpaceDN w:val="0"/>
        <w:ind w:firstLine="400" w:firstLineChars="200"/>
        <w:rPr>
          <w:rFonts w:ascii="宋体" w:hAnsi="Times New Roman" w:cs="Times New Roman"/>
          <w:kern w:val="0"/>
          <w:sz w:val="20"/>
          <w:szCs w:val="18"/>
        </w:rPr>
      </w:pPr>
      <w:r>
        <w:rPr>
          <w:rFonts w:hint="eastAsia" w:ascii="宋体" w:hAnsi="Times New Roman" w:cs="Times New Roman"/>
          <w:kern w:val="0"/>
          <w:sz w:val="20"/>
          <w:szCs w:val="18"/>
        </w:rPr>
        <w:t>鉴定机构应深入研究品牌消费品的特征包括新的防伪技术和仿冒品技术，如</w:t>
      </w:r>
      <w:r>
        <w:rPr>
          <w:rFonts w:ascii="宋体" w:hAnsi="Times New Roman" w:cs="Times New Roman"/>
          <w:kern w:val="0"/>
          <w:sz w:val="20"/>
          <w:szCs w:val="18"/>
        </w:rPr>
        <w:t>镭射标、芯片、二维码等。</w:t>
      </w:r>
      <w:r>
        <w:rPr>
          <w:rFonts w:hint="eastAsia" w:ascii="宋体" w:hAnsi="Times New Roman" w:cs="Times New Roman"/>
          <w:kern w:val="0"/>
          <w:sz w:val="20"/>
          <w:szCs w:val="18"/>
        </w:rPr>
        <w:t>对比样品数据库应定期进行更新、检查和维护。</w:t>
      </w:r>
    </w:p>
    <w:p w14:paraId="0010A93D">
      <w:pPr>
        <w:pStyle w:val="107"/>
        <w:numPr>
          <w:ilvl w:val="1"/>
          <w:numId w:val="37"/>
        </w:numPr>
        <w:spacing w:before="120" w:after="120"/>
        <w:ind w:left="0" w:firstLine="0"/>
        <w:rPr>
          <w:rFonts w:hAnsi="黑体"/>
          <w:szCs w:val="21"/>
        </w:rPr>
      </w:pPr>
      <w:r>
        <w:rPr>
          <w:rFonts w:hint="eastAsia"/>
        </w:rPr>
        <w:t>档案管理</w:t>
      </w:r>
    </w:p>
    <w:p w14:paraId="264DFA48">
      <w:pPr>
        <w:widowControl/>
        <w:autoSpaceDE w:val="0"/>
        <w:autoSpaceDN w:val="0"/>
        <w:ind w:firstLine="400" w:firstLineChars="200"/>
        <w:rPr>
          <w:rFonts w:ascii="宋体" w:hAnsi="Times New Roman" w:cs="Times New Roman"/>
          <w:kern w:val="0"/>
          <w:sz w:val="20"/>
          <w:szCs w:val="18"/>
        </w:rPr>
      </w:pPr>
      <w:r>
        <w:rPr>
          <w:rFonts w:hint="eastAsia" w:ascii="宋体" w:hAnsi="Times New Roman" w:cs="Times New Roman"/>
          <w:kern w:val="0"/>
          <w:sz w:val="20"/>
          <w:szCs w:val="18"/>
        </w:rPr>
        <w:t>鉴定机构应具有明确每个送检样品在本机构的整个期间能到持续的识别：包括接收、</w:t>
      </w:r>
      <w:r>
        <w:rPr>
          <w:rFonts w:ascii="宋体" w:hAnsi="Times New Roman" w:cs="Times New Roman"/>
          <w:kern w:val="0"/>
          <w:sz w:val="20"/>
          <w:szCs w:val="18"/>
        </w:rPr>
        <w:t>开箱检查、建档登记、拍照存档、</w:t>
      </w:r>
      <w:r>
        <w:rPr>
          <w:rFonts w:hint="eastAsia" w:ascii="宋体" w:hAnsi="Times New Roman" w:cs="Times New Roman"/>
          <w:kern w:val="0"/>
          <w:sz w:val="20"/>
          <w:szCs w:val="18"/>
        </w:rPr>
        <w:t>内部传递、多轮鉴定、</w:t>
      </w:r>
      <w:r>
        <w:rPr>
          <w:rFonts w:ascii="宋体" w:hAnsi="Times New Roman" w:cs="Times New Roman"/>
          <w:kern w:val="0"/>
          <w:sz w:val="20"/>
          <w:szCs w:val="18"/>
        </w:rPr>
        <w:t>复检核对、封箱寄出等关键环节</w:t>
      </w:r>
      <w:r>
        <w:rPr>
          <w:rFonts w:hint="eastAsia" w:ascii="宋体" w:hAnsi="Times New Roman" w:cs="Times New Roman"/>
          <w:kern w:val="0"/>
          <w:sz w:val="20"/>
          <w:szCs w:val="18"/>
        </w:rPr>
        <w:t>等，做到均</w:t>
      </w:r>
      <w:r>
        <w:rPr>
          <w:rFonts w:ascii="宋体" w:hAnsi="Times New Roman" w:cs="Times New Roman"/>
          <w:kern w:val="0"/>
          <w:sz w:val="20"/>
          <w:szCs w:val="18"/>
        </w:rPr>
        <w:t>在全闭环监控下进行。</w:t>
      </w:r>
      <w:r>
        <w:rPr>
          <w:rFonts w:hint="eastAsia" w:ascii="宋体" w:hAnsi="Times New Roman" w:cs="Times New Roman"/>
          <w:kern w:val="0"/>
          <w:sz w:val="20"/>
          <w:szCs w:val="18"/>
        </w:rPr>
        <w:t>鉴定过程中的持续识别形成电子文件连同鉴定原始记录一同保存进行档案管理。</w:t>
      </w:r>
    </w:p>
    <w:p w14:paraId="779597D2">
      <w:pPr>
        <w:widowControl/>
        <w:autoSpaceDE w:val="0"/>
        <w:autoSpaceDN w:val="0"/>
        <w:ind w:firstLine="400" w:firstLineChars="200"/>
        <w:rPr>
          <w:rFonts w:ascii="宋体" w:hAnsi="Times New Roman" w:cs="Times New Roman"/>
          <w:kern w:val="0"/>
          <w:sz w:val="20"/>
          <w:szCs w:val="18"/>
        </w:rPr>
      </w:pPr>
      <w:r>
        <w:rPr>
          <w:rFonts w:hint="eastAsia" w:ascii="宋体" w:hAnsi="Times New Roman" w:cs="Times New Roman"/>
          <w:kern w:val="0"/>
          <w:sz w:val="20"/>
          <w:szCs w:val="18"/>
        </w:rPr>
        <w:t>确保每个送检样品的档案记录不被混淆，并能随时调档配合监督。</w:t>
      </w:r>
    </w:p>
    <w:p w14:paraId="76B24906">
      <w:pPr>
        <w:widowControl/>
        <w:autoSpaceDE w:val="0"/>
        <w:autoSpaceDN w:val="0"/>
        <w:ind w:firstLine="400" w:firstLineChars="200"/>
        <w:rPr>
          <w:rFonts w:ascii="宋体" w:hAnsi="Times New Roman" w:cs="Times New Roman"/>
          <w:kern w:val="0"/>
          <w:sz w:val="20"/>
          <w:szCs w:val="18"/>
        </w:rPr>
      </w:pPr>
      <w:r>
        <w:rPr>
          <w:rFonts w:hint="eastAsia" w:ascii="宋体" w:hAnsi="Times New Roman" w:cs="Times New Roman"/>
          <w:kern w:val="0"/>
          <w:sz w:val="20"/>
          <w:szCs w:val="18"/>
        </w:rPr>
        <w:t>保证档案记录的完整性和可追溯性，如有可能，档案中可包括在鉴定机构外部的传递。</w:t>
      </w:r>
    </w:p>
    <w:p w14:paraId="3E7798EF">
      <w:pPr>
        <w:widowControl/>
        <w:autoSpaceDE w:val="0"/>
        <w:autoSpaceDN w:val="0"/>
        <w:ind w:firstLine="400" w:firstLineChars="200"/>
        <w:rPr>
          <w:rFonts w:ascii="宋体" w:hAnsi="Times New Roman" w:cs="Times New Roman"/>
          <w:kern w:val="0"/>
          <w:sz w:val="20"/>
          <w:szCs w:val="18"/>
        </w:rPr>
      </w:pPr>
      <w:r>
        <w:rPr>
          <w:rFonts w:hint="eastAsia" w:ascii="宋体" w:hAnsi="Times New Roman" w:cs="Times New Roman"/>
          <w:kern w:val="0"/>
          <w:sz w:val="20"/>
          <w:szCs w:val="18"/>
        </w:rPr>
        <w:t>除非法律另有规定，所有档案都应安全地、妥善地保存。</w:t>
      </w:r>
      <w:r>
        <w:rPr>
          <w:rFonts w:ascii="宋体" w:hAnsi="Times New Roman" w:cs="Times New Roman"/>
          <w:kern w:val="0"/>
          <w:sz w:val="20"/>
          <w:szCs w:val="18"/>
        </w:rPr>
        <w:t>鉴定记录应采用纸质资料、电子数据库</w:t>
      </w:r>
      <w:r>
        <w:rPr>
          <w:rFonts w:hint="eastAsia" w:ascii="宋体" w:hAnsi="Times New Roman" w:cs="Times New Roman"/>
          <w:kern w:val="0"/>
          <w:sz w:val="20"/>
          <w:szCs w:val="18"/>
        </w:rPr>
        <w:t>或</w:t>
      </w:r>
      <w:r>
        <w:rPr>
          <w:rFonts w:ascii="宋体" w:hAnsi="Times New Roman" w:cs="Times New Roman"/>
          <w:kern w:val="0"/>
          <w:sz w:val="20"/>
          <w:szCs w:val="18"/>
        </w:rPr>
        <w:t>云端服务器等多种方式进行存储，原始记录报告保存</w:t>
      </w:r>
      <w:r>
        <w:rPr>
          <w:rFonts w:hint="eastAsia" w:ascii="宋体" w:hAnsi="Times New Roman" w:cs="Times New Roman"/>
          <w:kern w:val="0"/>
          <w:sz w:val="20"/>
          <w:szCs w:val="18"/>
        </w:rPr>
        <w:t>2</w:t>
      </w:r>
      <w:r>
        <w:rPr>
          <w:rFonts w:ascii="宋体" w:hAnsi="Times New Roman" w:cs="Times New Roman"/>
          <w:kern w:val="0"/>
          <w:sz w:val="20"/>
          <w:szCs w:val="18"/>
        </w:rPr>
        <w:t>年及以上，确保数据的安全性和可追溯性。已鉴定完毕的送检样品应有鉴定溯源签。</w:t>
      </w:r>
    </w:p>
    <w:p w14:paraId="0A00A96B">
      <w:pPr>
        <w:pStyle w:val="106"/>
        <w:numPr>
          <w:ilvl w:val="0"/>
          <w:numId w:val="35"/>
        </w:numPr>
        <w:spacing w:before="240" w:after="240"/>
      </w:pPr>
      <w:bookmarkStart w:id="37" w:name="_Toc177989562"/>
      <w:r>
        <w:rPr>
          <w:rFonts w:hint="eastAsia"/>
        </w:rPr>
        <w:t>鉴定</w:t>
      </w:r>
      <w:bookmarkEnd w:id="37"/>
      <w:r>
        <w:rPr>
          <w:rFonts w:hint="eastAsia"/>
        </w:rPr>
        <w:t>人员</w:t>
      </w:r>
    </w:p>
    <w:p w14:paraId="123EC839">
      <w:pPr>
        <w:pStyle w:val="107"/>
        <w:numPr>
          <w:ilvl w:val="1"/>
          <w:numId w:val="38"/>
        </w:numPr>
        <w:spacing w:before="120" w:after="120"/>
        <w:rPr>
          <w:rFonts w:hAnsi="黑体"/>
          <w:szCs w:val="21"/>
        </w:rPr>
      </w:pPr>
      <w:r>
        <w:rPr>
          <w:rFonts w:hint="eastAsia"/>
        </w:rPr>
        <w:t>资质要求</w:t>
      </w:r>
    </w:p>
    <w:p w14:paraId="5FB6C6E0">
      <w:pPr>
        <w:widowControl/>
        <w:ind w:firstLine="420"/>
        <w:rPr>
          <w:rFonts w:ascii="宋体" w:hAnsi="宋体" w:cs="Times New Roman"/>
          <w:kern w:val="0"/>
          <w:szCs w:val="24"/>
        </w:rPr>
      </w:pPr>
      <w:r>
        <w:rPr>
          <w:rFonts w:hint="eastAsia" w:ascii="宋体" w:hAnsi="宋体" w:cs="Times New Roman"/>
          <w:kern w:val="0"/>
          <w:szCs w:val="24"/>
        </w:rPr>
        <w:t>从事品牌消费品鉴定工作人员，应当具备人力资源与社会劳动保障部或相对应的政府机构、行业社团组织颁发的资格等级证书或能力水平证书。定期参加相应的能力水平考试，以确保具备识别最新仿冒技术的鉴定能力。</w:t>
      </w:r>
    </w:p>
    <w:p w14:paraId="37C85C04">
      <w:pPr>
        <w:pStyle w:val="107"/>
        <w:numPr>
          <w:ilvl w:val="1"/>
          <w:numId w:val="38"/>
        </w:numPr>
        <w:spacing w:before="120" w:after="120"/>
      </w:pPr>
      <w:r>
        <w:rPr>
          <w:rFonts w:hint="eastAsia"/>
        </w:rPr>
        <w:t>道德要求</w:t>
      </w:r>
    </w:p>
    <w:p w14:paraId="526F4831">
      <w:pPr>
        <w:widowControl/>
        <w:ind w:firstLine="420"/>
        <w:rPr>
          <w:rFonts w:ascii="宋体" w:hAnsi="宋体" w:cs="Times New Roman"/>
          <w:kern w:val="0"/>
          <w:szCs w:val="24"/>
        </w:rPr>
      </w:pPr>
      <w:r>
        <w:rPr>
          <w:rFonts w:hint="eastAsia" w:ascii="宋体" w:hAnsi="宋体" w:cs="Times New Roman"/>
          <w:kern w:val="0"/>
          <w:szCs w:val="24"/>
        </w:rPr>
        <w:t>鉴定人员应遵守职业道德，不得参与任何可能影响鉴定结果的活动。应当独立于其出具的鉴定意见书所涉及的利益相关方，不得接受以影响鉴定结果为目的任何利益输送，不受任何可能干扰其技术判断的因素影响，保证其出具的鉴定意见书真实、客观、准确、完整。</w:t>
      </w:r>
    </w:p>
    <w:p w14:paraId="6C9D334A">
      <w:pPr>
        <w:pStyle w:val="107"/>
        <w:numPr>
          <w:ilvl w:val="1"/>
          <w:numId w:val="38"/>
        </w:numPr>
        <w:spacing w:before="120" w:after="120"/>
      </w:pPr>
      <w:r>
        <w:rPr>
          <w:rFonts w:hint="eastAsia"/>
        </w:rPr>
        <w:t>专业能力要求</w:t>
      </w:r>
    </w:p>
    <w:p w14:paraId="0EA77936">
      <w:pPr>
        <w:pStyle w:val="107"/>
        <w:spacing w:before="120" w:after="120"/>
      </w:pPr>
      <w:r>
        <w:t xml:space="preserve">5.3.1 </w:t>
      </w:r>
      <w:r>
        <w:rPr>
          <w:rFonts w:hint="eastAsia"/>
          <w:color w:val="FF0000"/>
        </w:rPr>
        <w:t>材质鉴别能力</w:t>
      </w:r>
    </w:p>
    <w:p w14:paraId="6F1157B5">
      <w:pPr>
        <w:pStyle w:val="58"/>
        <w:ind w:firstLine="420"/>
      </w:pPr>
      <w:r>
        <w:rPr>
          <w:rFonts w:hint="eastAsia"/>
        </w:rPr>
        <w:t>应具备相关行业的材质鉴别基础能力，必要时能熟练使用仪器辅助鉴别。如：品牌皮具类鉴定人员应具备区分皮革（牛皮革、鳄鱼皮革等）与合成革的基础能力；品牌饰品、玉石类鉴定人员需具备贵金属以及宝石识别基础能力；品牌鞋服类鉴定人员应具备区分分皮革（牛皮革、鳄鱼皮革等）与合成革的基础能力，也应具备区分丝绸、羊绒等主要材质的基础能力等。</w:t>
      </w:r>
    </w:p>
    <w:p w14:paraId="30C8C6CD">
      <w:pPr>
        <w:pStyle w:val="107"/>
        <w:spacing w:before="120" w:after="120"/>
      </w:pPr>
      <w:r>
        <w:t xml:space="preserve">5.3.2 </w:t>
      </w:r>
      <w:r>
        <w:rPr>
          <w:rFonts w:hint="eastAsia"/>
        </w:rPr>
        <w:t>工艺细节鉴别能力</w:t>
      </w:r>
    </w:p>
    <w:p w14:paraId="051B2E9B">
      <w:pPr>
        <w:pStyle w:val="58"/>
        <w:ind w:firstLine="525" w:firstLineChars="250"/>
      </w:pPr>
      <w:r>
        <w:rPr>
          <w:rFonts w:hint="eastAsia"/>
        </w:rPr>
        <w:t>熟悉品牌特有的制作工艺，如缝线、拉链、铆钉、印刻等工艺。</w:t>
      </w:r>
    </w:p>
    <w:p w14:paraId="12DACD85">
      <w:pPr>
        <w:pStyle w:val="107"/>
        <w:spacing w:before="120" w:after="120"/>
      </w:pPr>
      <w:r>
        <w:t xml:space="preserve">5.3.2 </w:t>
      </w:r>
      <w:r>
        <w:rPr>
          <w:rFonts w:hint="eastAsia"/>
        </w:rPr>
        <w:t>品牌防伪细节鉴别能力</w:t>
      </w:r>
    </w:p>
    <w:p w14:paraId="42D56636">
      <w:pPr>
        <w:pStyle w:val="58"/>
        <w:ind w:firstLine="525" w:firstLineChars="250"/>
      </w:pPr>
      <w:r>
        <w:rPr>
          <w:rFonts w:hint="eastAsia"/>
        </w:rPr>
        <w:t>应熟悉品牌消费品最新防伪手段。</w:t>
      </w:r>
    </w:p>
    <w:p w14:paraId="5C31FE33">
      <w:pPr>
        <w:pStyle w:val="106"/>
        <w:numPr>
          <w:ilvl w:val="0"/>
          <w:numId w:val="35"/>
        </w:numPr>
        <w:spacing w:before="240" w:after="240"/>
      </w:pPr>
      <w:r>
        <w:rPr>
          <w:rFonts w:hint="eastAsia"/>
        </w:rPr>
        <w:t>管理规范</w:t>
      </w:r>
    </w:p>
    <w:p w14:paraId="77DD25C3">
      <w:pPr>
        <w:pStyle w:val="107"/>
        <w:numPr>
          <w:ilvl w:val="1"/>
          <w:numId w:val="39"/>
        </w:numPr>
        <w:spacing w:before="120" w:after="120"/>
      </w:pPr>
      <w:r>
        <w:rPr>
          <w:rFonts w:hint="eastAsia"/>
        </w:rPr>
        <w:t>鉴定责任要求</w:t>
      </w:r>
    </w:p>
    <w:p w14:paraId="06615C36">
      <w:pPr>
        <w:pStyle w:val="107"/>
        <w:numPr>
          <w:ilvl w:val="2"/>
          <w:numId w:val="40"/>
        </w:numPr>
        <w:spacing w:before="120" w:after="120"/>
      </w:pPr>
      <w:r>
        <w:rPr>
          <w:rFonts w:hint="eastAsia"/>
        </w:rPr>
        <w:t>通用要求</w:t>
      </w:r>
    </w:p>
    <w:p w14:paraId="064B873E">
      <w:pPr>
        <w:widowControl/>
        <w:ind w:firstLine="420"/>
        <w:rPr>
          <w:rFonts w:ascii="宋体" w:hAnsi="宋体" w:cs="Times New Roman"/>
          <w:kern w:val="0"/>
          <w:szCs w:val="24"/>
        </w:rPr>
      </w:pPr>
      <w:r>
        <w:rPr>
          <w:rFonts w:ascii="宋体" w:hAnsi="宋体" w:cs="Times New Roman"/>
          <w:kern w:val="0"/>
          <w:szCs w:val="24"/>
        </w:rPr>
        <w:t>鉴定机构及其人员从事鉴定活动应当遵守法律、行政法规、部门规章的规定，遵循客观独立、公平公正、诚实信用原则，恪守职业道德，承担社会责任。</w:t>
      </w:r>
    </w:p>
    <w:p w14:paraId="7E12BC88">
      <w:pPr>
        <w:pStyle w:val="107"/>
        <w:numPr>
          <w:ilvl w:val="2"/>
          <w:numId w:val="40"/>
        </w:numPr>
        <w:spacing w:before="120" w:after="120"/>
        <w:rPr>
          <w:color w:val="FF0000"/>
        </w:rPr>
      </w:pPr>
      <w:r>
        <w:rPr>
          <w:rFonts w:hint="eastAsia"/>
          <w:color w:val="FF0000"/>
        </w:rPr>
        <w:t>客诉率要求</w:t>
      </w:r>
    </w:p>
    <w:p w14:paraId="3D2FCF61">
      <w:pPr>
        <w:widowControl/>
        <w:ind w:firstLine="420"/>
        <w:rPr>
          <w:rFonts w:ascii="宋体" w:hAnsi="宋体" w:cs="Times New Roman"/>
          <w:kern w:val="0"/>
          <w:szCs w:val="24"/>
        </w:rPr>
      </w:pPr>
      <w:r>
        <w:rPr>
          <w:rFonts w:ascii="宋体" w:hAnsi="宋体" w:cs="Times New Roman"/>
          <w:kern w:val="0"/>
          <w:szCs w:val="24"/>
        </w:rPr>
        <w:t>鉴定机构应当对其出具的鉴定意见书负责，</w:t>
      </w:r>
      <w:r>
        <w:rPr>
          <w:rFonts w:hint="eastAsia" w:ascii="宋体" w:hAnsi="宋体" w:cs="Times New Roman"/>
          <w:kern w:val="0"/>
          <w:szCs w:val="24"/>
        </w:rPr>
        <w:t>并</w:t>
      </w:r>
      <w:r>
        <w:rPr>
          <w:rFonts w:ascii="宋体" w:hAnsi="宋体" w:cs="Times New Roman"/>
          <w:kern w:val="0"/>
          <w:szCs w:val="24"/>
        </w:rPr>
        <w:t>依法承担法律责任。</w:t>
      </w:r>
      <w:r>
        <w:rPr>
          <w:rFonts w:hint="eastAsia" w:ascii="宋体" w:hAnsi="宋体" w:cs="Times New Roman"/>
          <w:kern w:val="0"/>
          <w:szCs w:val="24"/>
        </w:rPr>
        <w:t>由于鉴定结果不准确产生的客诉率每年应在</w:t>
      </w:r>
      <w:r>
        <w:rPr>
          <w:rFonts w:ascii="宋体" w:hAnsi="宋体" w:cs="Times New Roman"/>
          <w:kern w:val="0"/>
          <w:szCs w:val="24"/>
        </w:rPr>
        <w:t>10%</w:t>
      </w:r>
      <w:r>
        <w:rPr>
          <w:rFonts w:hint="eastAsia" w:ascii="宋体" w:hAnsi="宋体" w:cs="Times New Roman"/>
          <w:kern w:val="0"/>
          <w:szCs w:val="24"/>
        </w:rPr>
        <w:t>以内。如客诉率在1</w:t>
      </w:r>
      <w:r>
        <w:rPr>
          <w:rFonts w:ascii="宋体" w:hAnsi="宋体" w:cs="Times New Roman"/>
          <w:kern w:val="0"/>
          <w:szCs w:val="24"/>
        </w:rPr>
        <w:t>0%</w:t>
      </w:r>
      <w:r>
        <w:rPr>
          <w:rFonts w:hint="eastAsia" w:ascii="宋体" w:hAnsi="宋体" w:cs="Times New Roman"/>
          <w:kern w:val="0"/>
          <w:szCs w:val="24"/>
        </w:rPr>
        <w:t>～2</w:t>
      </w:r>
      <w:r>
        <w:rPr>
          <w:rFonts w:ascii="宋体" w:hAnsi="宋体" w:cs="Times New Roman"/>
          <w:kern w:val="0"/>
          <w:szCs w:val="24"/>
        </w:rPr>
        <w:t>0%</w:t>
      </w:r>
      <w:r>
        <w:rPr>
          <w:rFonts w:hint="eastAsia" w:ascii="宋体" w:hAnsi="宋体" w:cs="Times New Roman"/>
          <w:kern w:val="0"/>
          <w:szCs w:val="24"/>
        </w:rPr>
        <w:t>之间，鉴定机构应</w:t>
      </w:r>
      <w:r>
        <w:rPr>
          <w:rFonts w:ascii="宋体" w:hAnsi="宋体" w:cs="Times New Roman"/>
          <w:kern w:val="0"/>
          <w:szCs w:val="24"/>
        </w:rPr>
        <w:t>改进鉴定流程和</w:t>
      </w:r>
      <w:r>
        <w:rPr>
          <w:rFonts w:hint="eastAsia" w:ascii="宋体" w:hAnsi="宋体" w:cs="Times New Roman"/>
          <w:kern w:val="0"/>
          <w:szCs w:val="24"/>
        </w:rPr>
        <w:t>提高鉴定</w:t>
      </w:r>
      <w:r>
        <w:rPr>
          <w:rFonts w:ascii="宋体" w:hAnsi="宋体" w:cs="Times New Roman"/>
          <w:kern w:val="0"/>
          <w:szCs w:val="24"/>
        </w:rPr>
        <w:t>技术</w:t>
      </w:r>
      <w:r>
        <w:rPr>
          <w:rFonts w:hint="eastAsia" w:ascii="宋体" w:hAnsi="宋体" w:cs="Times New Roman"/>
          <w:kern w:val="0"/>
          <w:szCs w:val="24"/>
        </w:rPr>
        <w:t>。如客诉率持续两年大于2</w:t>
      </w:r>
      <w:r>
        <w:rPr>
          <w:rFonts w:ascii="宋体" w:hAnsi="宋体" w:cs="Times New Roman"/>
          <w:kern w:val="0"/>
          <w:szCs w:val="24"/>
        </w:rPr>
        <w:t>0%</w:t>
      </w:r>
      <w:r>
        <w:rPr>
          <w:rFonts w:hint="eastAsia" w:ascii="宋体" w:hAnsi="宋体" w:cs="Times New Roman"/>
          <w:kern w:val="0"/>
          <w:szCs w:val="24"/>
        </w:rPr>
        <w:t>，则应停业整改。如整改后依然大于2</w:t>
      </w:r>
      <w:r>
        <w:rPr>
          <w:rFonts w:ascii="宋体" w:hAnsi="宋体" w:cs="Times New Roman"/>
          <w:kern w:val="0"/>
          <w:szCs w:val="24"/>
        </w:rPr>
        <w:t>0%</w:t>
      </w:r>
      <w:r>
        <w:rPr>
          <w:rFonts w:hint="eastAsia" w:ascii="宋体" w:hAnsi="宋体" w:cs="Times New Roman"/>
          <w:kern w:val="0"/>
          <w:szCs w:val="24"/>
        </w:rPr>
        <w:t>，则列入行业黑名单。</w:t>
      </w:r>
    </w:p>
    <w:p w14:paraId="767F7492">
      <w:pPr>
        <w:pStyle w:val="107"/>
        <w:numPr>
          <w:ilvl w:val="1"/>
          <w:numId w:val="40"/>
        </w:numPr>
        <w:spacing w:before="120" w:after="120"/>
      </w:pPr>
      <w:r>
        <w:rPr>
          <w:rFonts w:hint="eastAsia"/>
        </w:rPr>
        <w:t>鉴定保密要求</w:t>
      </w:r>
    </w:p>
    <w:p w14:paraId="76F563AC">
      <w:pPr>
        <w:widowControl/>
        <w:ind w:firstLine="420"/>
        <w:rPr>
          <w:rFonts w:ascii="宋体" w:hAnsi="宋体" w:cs="Times New Roman"/>
          <w:kern w:val="0"/>
          <w:szCs w:val="24"/>
        </w:rPr>
      </w:pPr>
      <w:r>
        <w:rPr>
          <w:rFonts w:hint="eastAsia" w:ascii="宋体" w:hAnsi="宋体" w:cs="Times New Roman"/>
          <w:kern w:val="0"/>
          <w:szCs w:val="24"/>
        </w:rPr>
        <w:t>鉴定</w:t>
      </w:r>
      <w:r>
        <w:rPr>
          <w:rFonts w:ascii="宋体" w:hAnsi="宋体" w:cs="Times New Roman"/>
          <w:kern w:val="0"/>
          <w:szCs w:val="24"/>
        </w:rPr>
        <w:t>机构应通过具有法律效力的承诺，对在实施</w:t>
      </w:r>
      <w:r>
        <w:rPr>
          <w:rFonts w:hint="eastAsia" w:ascii="宋体" w:hAnsi="宋体" w:cs="Times New Roman"/>
          <w:kern w:val="0"/>
          <w:szCs w:val="24"/>
        </w:rPr>
        <w:t>鉴定</w:t>
      </w:r>
      <w:r>
        <w:rPr>
          <w:rFonts w:ascii="宋体" w:hAnsi="宋体" w:cs="Times New Roman"/>
          <w:kern w:val="0"/>
          <w:szCs w:val="24"/>
        </w:rPr>
        <w:t>活动中获得或产生的所有信息承担管理责任。</w:t>
      </w:r>
      <w:r>
        <w:rPr>
          <w:rFonts w:hint="eastAsia" w:ascii="宋体" w:hAnsi="宋体" w:cs="Times New Roman"/>
          <w:kern w:val="0"/>
          <w:szCs w:val="24"/>
        </w:rPr>
        <w:t>鉴定</w:t>
      </w:r>
      <w:r>
        <w:rPr>
          <w:rFonts w:ascii="宋体" w:hAnsi="宋体" w:cs="Times New Roman"/>
          <w:kern w:val="0"/>
          <w:szCs w:val="24"/>
        </w:rPr>
        <w:t>机构应将拟在公开场合发布的信息事先通知客户。除非是客户公开的信息或和客户达成了一致的信息，其他所有信息都被认为是专有信息，应视为保密。</w:t>
      </w:r>
    </w:p>
    <w:p w14:paraId="3A9703F8">
      <w:pPr>
        <w:pStyle w:val="107"/>
        <w:numPr>
          <w:ilvl w:val="1"/>
          <w:numId w:val="40"/>
        </w:numPr>
        <w:spacing w:before="120" w:after="120"/>
        <w:rPr>
          <w:color w:val="FF0000"/>
        </w:rPr>
      </w:pPr>
      <w:r>
        <w:rPr>
          <w:rFonts w:hint="eastAsia"/>
          <w:color w:val="FF0000"/>
        </w:rPr>
        <w:t>鉴定管理要求</w:t>
      </w:r>
    </w:p>
    <w:p w14:paraId="151B6132">
      <w:pPr>
        <w:widowControl/>
        <w:ind w:firstLine="420"/>
        <w:rPr>
          <w:rFonts w:ascii="宋体" w:hAnsi="宋体" w:cs="Times New Roman"/>
          <w:kern w:val="0"/>
          <w:szCs w:val="24"/>
        </w:rPr>
      </w:pPr>
      <w:r>
        <w:rPr>
          <w:rFonts w:hint="eastAsia" w:ascii="宋体" w:hAnsi="宋体" w:cs="Times New Roman"/>
          <w:kern w:val="0"/>
          <w:szCs w:val="24"/>
        </w:rPr>
        <w:t>鉴定</w:t>
      </w:r>
      <w:r>
        <w:rPr>
          <w:rFonts w:ascii="宋体" w:hAnsi="宋体" w:cs="Times New Roman"/>
          <w:kern w:val="0"/>
          <w:szCs w:val="24"/>
        </w:rPr>
        <w:t>机构</w:t>
      </w:r>
      <w:r>
        <w:rPr>
          <w:rFonts w:hint="eastAsia" w:ascii="宋体" w:hAnsi="宋体" w:cs="Times New Roman"/>
          <w:kern w:val="0"/>
          <w:szCs w:val="24"/>
        </w:rPr>
        <w:t>应拥有多名</w:t>
      </w:r>
      <w:r>
        <w:rPr>
          <w:rFonts w:ascii="宋体" w:hAnsi="宋体" w:cs="Times New Roman"/>
          <w:kern w:val="0"/>
          <w:szCs w:val="24"/>
        </w:rPr>
        <w:t>具备运作</w:t>
      </w:r>
      <w:r>
        <w:rPr>
          <w:rFonts w:hint="eastAsia" w:ascii="宋体" w:hAnsi="宋体" w:cs="Times New Roman"/>
          <w:kern w:val="0"/>
          <w:szCs w:val="24"/>
        </w:rPr>
        <w:t>鉴定</w:t>
      </w:r>
      <w:r>
        <w:rPr>
          <w:rFonts w:ascii="宋体" w:hAnsi="宋体" w:cs="Times New Roman"/>
          <w:kern w:val="0"/>
          <w:szCs w:val="24"/>
        </w:rPr>
        <w:t>机构</w:t>
      </w:r>
      <w:r>
        <w:rPr>
          <w:rFonts w:hint="eastAsia" w:ascii="宋体" w:hAnsi="宋体" w:cs="Times New Roman"/>
          <w:kern w:val="0"/>
          <w:szCs w:val="24"/>
        </w:rPr>
        <w:t>的管理人员和具备鉴定能力</w:t>
      </w:r>
      <w:r>
        <w:rPr>
          <w:rFonts w:ascii="宋体" w:hAnsi="宋体" w:cs="Times New Roman"/>
          <w:kern w:val="0"/>
          <w:szCs w:val="24"/>
        </w:rPr>
        <w:t>的</w:t>
      </w:r>
      <w:r>
        <w:rPr>
          <w:rFonts w:hint="eastAsia" w:ascii="宋体" w:hAnsi="宋体" w:cs="Times New Roman"/>
          <w:kern w:val="0"/>
          <w:szCs w:val="24"/>
        </w:rPr>
        <w:t>技术人员。从事鉴定活动的人员，专职鉴定人员比例不低于5</w:t>
      </w:r>
      <w:r>
        <w:rPr>
          <w:rFonts w:ascii="宋体" w:hAnsi="宋体" w:cs="Times New Roman"/>
          <w:kern w:val="0"/>
          <w:szCs w:val="24"/>
        </w:rPr>
        <w:t>0%</w:t>
      </w:r>
      <w:r>
        <w:rPr>
          <w:rFonts w:hint="eastAsia" w:ascii="宋体" w:hAnsi="宋体" w:cs="Times New Roman"/>
          <w:kern w:val="0"/>
          <w:szCs w:val="24"/>
        </w:rPr>
        <w:t>，鉴定</w:t>
      </w:r>
      <w:r>
        <w:rPr>
          <w:rFonts w:ascii="宋体" w:hAnsi="宋体" w:cs="Times New Roman"/>
          <w:kern w:val="0"/>
          <w:szCs w:val="24"/>
        </w:rPr>
        <w:t>机构应规定所有与</w:t>
      </w:r>
      <w:r>
        <w:rPr>
          <w:rFonts w:hint="eastAsia" w:ascii="宋体" w:hAnsi="宋体" w:cs="Times New Roman"/>
          <w:kern w:val="0"/>
          <w:szCs w:val="24"/>
        </w:rPr>
        <w:t>鉴定</w:t>
      </w:r>
      <w:r>
        <w:rPr>
          <w:rFonts w:ascii="宋体" w:hAnsi="宋体" w:cs="Times New Roman"/>
          <w:kern w:val="0"/>
          <w:szCs w:val="24"/>
        </w:rPr>
        <w:t>活动相关的人员的能力要求，包括教育、培训、技术知识、技能和经验等要求。</w:t>
      </w:r>
      <w:r>
        <w:rPr>
          <w:rFonts w:hint="eastAsia" w:ascii="宋体" w:hAnsi="宋体" w:cs="Times New Roman"/>
          <w:kern w:val="0"/>
          <w:szCs w:val="24"/>
        </w:rPr>
        <w:t>鉴定</w:t>
      </w:r>
      <w:r>
        <w:rPr>
          <w:rFonts w:ascii="宋体" w:hAnsi="宋体" w:cs="Times New Roman"/>
          <w:kern w:val="0"/>
          <w:szCs w:val="24"/>
        </w:rPr>
        <w:t>机构应保存涉及</w:t>
      </w:r>
      <w:r>
        <w:rPr>
          <w:rFonts w:hint="eastAsia" w:ascii="宋体" w:hAnsi="宋体" w:cs="Times New Roman"/>
          <w:kern w:val="0"/>
          <w:szCs w:val="24"/>
        </w:rPr>
        <w:t>鉴定</w:t>
      </w:r>
      <w:r>
        <w:rPr>
          <w:rFonts w:ascii="宋体" w:hAnsi="宋体" w:cs="Times New Roman"/>
          <w:kern w:val="0"/>
          <w:szCs w:val="24"/>
        </w:rPr>
        <w:t>活动的每个人员的监督、教育、培训、技术知识、技能、经验和授权的记录。</w:t>
      </w:r>
    </w:p>
    <w:p w14:paraId="179C31F5">
      <w:pPr>
        <w:widowControl/>
        <w:ind w:firstLine="420"/>
        <w:rPr>
          <w:rFonts w:ascii="宋体" w:hAnsi="宋体" w:cs="Times New Roman"/>
          <w:kern w:val="0"/>
          <w:szCs w:val="24"/>
        </w:rPr>
      </w:pPr>
      <w:r>
        <w:rPr>
          <w:rFonts w:hint="eastAsia" w:ascii="宋体" w:hAnsi="宋体" w:cs="Times New Roman"/>
          <w:kern w:val="0"/>
          <w:szCs w:val="24"/>
        </w:rPr>
        <w:t>鉴定机构应使用规定的鉴定方法和程序，如</w:t>
      </w:r>
      <w:r>
        <w:rPr>
          <w:rFonts w:ascii="宋体" w:hAnsi="宋体" w:cs="Times New Roman"/>
          <w:kern w:val="0"/>
          <w:szCs w:val="24"/>
        </w:rPr>
        <w:t>T/CIQA 101—2024等</w:t>
      </w:r>
      <w:r>
        <w:rPr>
          <w:rFonts w:hint="eastAsia" w:ascii="宋体" w:hAnsi="宋体" w:cs="Times New Roman"/>
          <w:kern w:val="0"/>
          <w:szCs w:val="24"/>
        </w:rPr>
        <w:t>；应及时记录鉴定过程中观察到的情况和得到的数据，形成鉴定原始记录；对所有鉴定结果予以适当的审核。</w:t>
      </w:r>
    </w:p>
    <w:p w14:paraId="49532401">
      <w:pPr>
        <w:pStyle w:val="107"/>
        <w:numPr>
          <w:ilvl w:val="1"/>
          <w:numId w:val="40"/>
        </w:numPr>
        <w:spacing w:before="120" w:after="120"/>
        <w:rPr>
          <w:color w:val="FF0000"/>
        </w:rPr>
      </w:pPr>
      <w:r>
        <w:rPr>
          <w:rFonts w:hint="eastAsia"/>
          <w:color w:val="FF0000"/>
        </w:rPr>
        <w:t>鉴定价格要求</w:t>
      </w:r>
    </w:p>
    <w:p w14:paraId="6015BA69">
      <w:pPr>
        <w:widowControl/>
        <w:ind w:firstLine="420"/>
        <w:rPr>
          <w:rFonts w:ascii="宋体" w:hAnsi="宋体" w:cs="Times New Roman"/>
          <w:kern w:val="0"/>
          <w:szCs w:val="24"/>
        </w:rPr>
      </w:pPr>
      <w:r>
        <w:rPr>
          <w:rFonts w:hint="eastAsia" w:ascii="宋体" w:hAnsi="宋体" w:cs="Times New Roman"/>
          <w:kern w:val="0"/>
          <w:szCs w:val="24"/>
        </w:rPr>
        <w:t>鉴定机构应建立具体的</w:t>
      </w:r>
      <w:r>
        <w:rPr>
          <w:rFonts w:ascii="宋体" w:hAnsi="宋体" w:cs="Times New Roman"/>
          <w:kern w:val="0"/>
          <w:szCs w:val="24"/>
        </w:rPr>
        <w:t>价格管理制度，规范定价和收费行为。鉴定服务的</w:t>
      </w:r>
      <w:r>
        <w:rPr>
          <w:rFonts w:hint="eastAsia" w:ascii="宋体" w:hAnsi="宋体" w:cs="Times New Roman"/>
          <w:kern w:val="0"/>
          <w:szCs w:val="24"/>
        </w:rPr>
        <w:t>收费</w:t>
      </w:r>
      <w:r>
        <w:rPr>
          <w:rFonts w:ascii="宋体" w:hAnsi="宋体" w:cs="Times New Roman"/>
          <w:kern w:val="0"/>
          <w:szCs w:val="24"/>
        </w:rPr>
        <w:t>应公开透明，</w:t>
      </w:r>
      <w:r>
        <w:rPr>
          <w:rFonts w:hint="eastAsia" w:ascii="宋体" w:hAnsi="宋体" w:cs="Times New Roman"/>
          <w:kern w:val="0"/>
          <w:szCs w:val="24"/>
        </w:rPr>
        <w:t>保留收费凭证和</w:t>
      </w:r>
      <w:r>
        <w:rPr>
          <w:rFonts w:ascii="宋体" w:hAnsi="宋体" w:cs="Times New Roman"/>
          <w:kern w:val="0"/>
          <w:szCs w:val="24"/>
        </w:rPr>
        <w:t>相关</w:t>
      </w:r>
      <w:r>
        <w:rPr>
          <w:rFonts w:hint="eastAsia" w:ascii="宋体" w:hAnsi="宋体" w:cs="Times New Roman"/>
          <w:kern w:val="0"/>
          <w:szCs w:val="24"/>
        </w:rPr>
        <w:t>记录等证据。</w:t>
      </w:r>
    </w:p>
    <w:p w14:paraId="40D5CA3C">
      <w:pPr>
        <w:pStyle w:val="107"/>
        <w:numPr>
          <w:ilvl w:val="1"/>
          <w:numId w:val="40"/>
        </w:numPr>
        <w:spacing w:before="120" w:after="120"/>
      </w:pPr>
      <w:r>
        <w:rPr>
          <w:rFonts w:hint="eastAsia"/>
        </w:rPr>
        <w:t>鉴定合同要求</w:t>
      </w:r>
    </w:p>
    <w:p w14:paraId="017E6FF8">
      <w:pPr>
        <w:widowControl/>
        <w:ind w:firstLine="420"/>
        <w:rPr>
          <w:rFonts w:ascii="宋体" w:hAnsi="宋体" w:cs="Times New Roman"/>
          <w:kern w:val="0"/>
          <w:szCs w:val="24"/>
        </w:rPr>
      </w:pPr>
      <w:r>
        <w:rPr>
          <w:rFonts w:hint="eastAsia" w:ascii="宋体" w:hAnsi="宋体" w:cs="Times New Roman"/>
          <w:kern w:val="0"/>
          <w:szCs w:val="24"/>
        </w:rPr>
        <w:t>鉴定机构</w:t>
      </w:r>
      <w:r>
        <w:rPr>
          <w:rFonts w:ascii="宋体" w:hAnsi="宋体" w:cs="Times New Roman"/>
          <w:kern w:val="0"/>
          <w:szCs w:val="24"/>
        </w:rPr>
        <w:t>应有合同或工作指令控制体系，以确保在其专业能力范围内从事工作，有充分的资源来满足要求；</w:t>
      </w:r>
      <w:bookmarkStart w:id="38" w:name="bookmark18"/>
      <w:bookmarkEnd w:id="38"/>
      <w:r>
        <w:rPr>
          <w:rFonts w:hint="eastAsia" w:ascii="宋体" w:hAnsi="宋体" w:cs="Times New Roman"/>
          <w:kern w:val="0"/>
          <w:szCs w:val="24"/>
        </w:rPr>
        <w:t>并</w:t>
      </w:r>
      <w:r>
        <w:rPr>
          <w:rFonts w:ascii="宋体" w:hAnsi="宋体" w:cs="Times New Roman"/>
          <w:kern w:val="0"/>
          <w:szCs w:val="24"/>
        </w:rPr>
        <w:t>确保被检验项目和样品可以被唯一性识别，以避免混淆。</w:t>
      </w:r>
      <w:r>
        <w:rPr>
          <w:rFonts w:ascii="宋体" w:hAnsi="宋体" w:cs="Times New Roman"/>
          <w:color w:val="FF0000"/>
          <w:kern w:val="0"/>
          <w:szCs w:val="24"/>
        </w:rPr>
        <w:t>通常情况下，</w:t>
      </w:r>
      <w:r>
        <w:rPr>
          <w:rFonts w:hint="eastAsia" w:ascii="宋体" w:hAnsi="宋体" w:cs="Times New Roman"/>
          <w:color w:val="FF0000"/>
          <w:kern w:val="0"/>
          <w:szCs w:val="24"/>
        </w:rPr>
        <w:t>鉴定机构</w:t>
      </w:r>
      <w:r>
        <w:rPr>
          <w:rFonts w:ascii="宋体" w:hAnsi="宋体" w:cs="Times New Roman"/>
          <w:color w:val="FF0000"/>
          <w:kern w:val="0"/>
          <w:szCs w:val="24"/>
        </w:rPr>
        <w:t>应自行执行合同任务</w:t>
      </w:r>
      <w:r>
        <w:rPr>
          <w:rFonts w:hint="eastAsia" w:ascii="宋体" w:hAnsi="宋体" w:cs="Times New Roman"/>
          <w:color w:val="FF0000"/>
          <w:kern w:val="0"/>
          <w:szCs w:val="24"/>
        </w:rPr>
        <w:t>，不得分包</w:t>
      </w:r>
      <w:r>
        <w:rPr>
          <w:rFonts w:ascii="宋体" w:hAnsi="宋体" w:cs="Times New Roman"/>
          <w:kern w:val="0"/>
          <w:szCs w:val="24"/>
        </w:rPr>
        <w:t>。</w:t>
      </w:r>
    </w:p>
    <w:p w14:paraId="67D08FA6">
      <w:pPr>
        <w:pStyle w:val="107"/>
        <w:numPr>
          <w:ilvl w:val="1"/>
          <w:numId w:val="40"/>
        </w:numPr>
        <w:spacing w:before="120" w:after="120"/>
      </w:pPr>
      <w:r>
        <w:rPr>
          <w:rFonts w:hint="eastAsia"/>
        </w:rPr>
        <w:t>客户反馈及鉴定申诉处理要求</w:t>
      </w:r>
    </w:p>
    <w:p w14:paraId="42B1C860">
      <w:pPr>
        <w:widowControl/>
        <w:spacing w:before="120" w:beforeLines="50" w:after="120" w:afterLines="50"/>
        <w:rPr>
          <w:rFonts w:ascii="宋体" w:hAnsi="宋体" w:cs="Times New Roman"/>
          <w:kern w:val="0"/>
          <w:szCs w:val="24"/>
        </w:rPr>
      </w:pPr>
      <w:r>
        <w:rPr>
          <w:rFonts w:hint="eastAsia" w:ascii="黑体" w:hAnsi="Times New Roman" w:eastAsia="黑体" w:cs="Times New Roman"/>
          <w:kern w:val="0"/>
          <w:szCs w:val="20"/>
        </w:rPr>
        <w:t>6</w:t>
      </w:r>
      <w:r>
        <w:rPr>
          <w:rFonts w:ascii="黑体" w:hAnsi="Times New Roman" w:eastAsia="黑体" w:cs="Times New Roman"/>
          <w:kern w:val="0"/>
          <w:szCs w:val="20"/>
        </w:rPr>
        <w:t xml:space="preserve">.6.1 </w:t>
      </w:r>
      <w:r>
        <w:rPr>
          <w:rFonts w:hint="eastAsia" w:ascii="黑体" w:hAnsi="Times New Roman" w:eastAsia="黑体" w:cs="Times New Roman"/>
          <w:kern w:val="0"/>
          <w:szCs w:val="20"/>
        </w:rPr>
        <w:t>客户反馈</w:t>
      </w:r>
    </w:p>
    <w:p w14:paraId="0A3BF420">
      <w:pPr>
        <w:widowControl/>
        <w:ind w:firstLine="420"/>
        <w:rPr>
          <w:rFonts w:ascii="宋体" w:hAnsi="宋体" w:cs="Times New Roman"/>
          <w:kern w:val="0"/>
          <w:szCs w:val="24"/>
        </w:rPr>
      </w:pPr>
      <w:r>
        <w:rPr>
          <w:rFonts w:ascii="宋体" w:hAnsi="宋体" w:cs="Times New Roman"/>
          <w:kern w:val="0"/>
          <w:szCs w:val="24"/>
        </w:rPr>
        <w:t>鉴定机构应建立完善的客户反馈</w:t>
      </w:r>
      <w:r>
        <w:rPr>
          <w:rFonts w:hint="eastAsia" w:ascii="宋体" w:hAnsi="宋体" w:cs="Times New Roman"/>
          <w:kern w:val="0"/>
          <w:szCs w:val="24"/>
        </w:rPr>
        <w:t>和投诉</w:t>
      </w:r>
      <w:r>
        <w:rPr>
          <w:rFonts w:ascii="宋体" w:hAnsi="宋体" w:cs="Times New Roman"/>
          <w:kern w:val="0"/>
          <w:szCs w:val="24"/>
        </w:rPr>
        <w:t>机制，确保能够及时、有效地处理客户的申诉、建议或意见。客户应能够通过多种渠道（如电话、邮件、在线平台等）便捷地提出反馈。机构需对客户反馈进行详细记录、系统分析和快速处理，并在规定时间内向客户反馈处理结果。对于客户投诉，机构应进行根本原因分析，制定并实施纠正措施，同时跟踪有效性，以</w:t>
      </w:r>
      <w:r>
        <w:rPr>
          <w:rFonts w:hint="eastAsia" w:ascii="宋体" w:hAnsi="宋体" w:cs="Times New Roman"/>
          <w:kern w:val="0"/>
          <w:szCs w:val="24"/>
        </w:rPr>
        <w:t>减少和</w:t>
      </w:r>
      <w:r>
        <w:rPr>
          <w:rFonts w:ascii="宋体" w:hAnsi="宋体" w:cs="Times New Roman"/>
          <w:kern w:val="0"/>
          <w:szCs w:val="24"/>
        </w:rPr>
        <w:t>防止类似问题再次发生。</w:t>
      </w:r>
    </w:p>
    <w:p w14:paraId="0591D8EF">
      <w:pPr>
        <w:widowControl/>
        <w:ind w:firstLine="420"/>
        <w:rPr>
          <w:rFonts w:ascii="宋体" w:hAnsi="宋体" w:cs="Times New Roman"/>
          <w:kern w:val="0"/>
          <w:szCs w:val="24"/>
        </w:rPr>
      </w:pPr>
      <w:r>
        <w:rPr>
          <w:rFonts w:hint="eastAsia" w:ascii="宋体" w:hAnsi="宋体" w:cs="Times New Roman"/>
          <w:kern w:val="0"/>
          <w:szCs w:val="24"/>
        </w:rPr>
        <w:t>机构需妥善保存所有投诉、申诉及相关处理措施的记录，以便后续追溯和改进。</w:t>
      </w:r>
    </w:p>
    <w:p w14:paraId="544AFAE5">
      <w:pPr>
        <w:widowControl/>
        <w:spacing w:before="120" w:beforeLines="50" w:after="120" w:afterLines="50"/>
        <w:rPr>
          <w:rFonts w:ascii="黑体" w:hAnsi="Times New Roman" w:eastAsia="黑体" w:cs="Times New Roman"/>
          <w:color w:val="FF0000"/>
          <w:kern w:val="0"/>
          <w:szCs w:val="20"/>
        </w:rPr>
      </w:pPr>
      <w:r>
        <w:rPr>
          <w:rFonts w:hint="eastAsia" w:ascii="黑体" w:hAnsi="Times New Roman" w:eastAsia="黑体" w:cs="Times New Roman"/>
          <w:color w:val="FF0000"/>
          <w:kern w:val="0"/>
          <w:szCs w:val="20"/>
        </w:rPr>
        <w:t>6.6.</w:t>
      </w:r>
      <w:r>
        <w:rPr>
          <w:rFonts w:ascii="黑体" w:hAnsi="Times New Roman" w:eastAsia="黑体" w:cs="Times New Roman"/>
          <w:color w:val="FF0000"/>
          <w:kern w:val="0"/>
          <w:szCs w:val="20"/>
        </w:rPr>
        <w:t xml:space="preserve">2 </w:t>
      </w:r>
      <w:r>
        <w:rPr>
          <w:rFonts w:hint="eastAsia" w:ascii="黑体" w:hAnsi="Times New Roman" w:eastAsia="黑体" w:cs="Times New Roman"/>
          <w:color w:val="FF0000"/>
          <w:kern w:val="0"/>
          <w:szCs w:val="20"/>
        </w:rPr>
        <w:t>客户鉴定申述处理</w:t>
      </w:r>
    </w:p>
    <w:p w14:paraId="41A98680">
      <w:pPr>
        <w:ind w:firstLine="525" w:firstLineChars="250"/>
        <w:rPr>
          <w:rFonts w:ascii="宋体" w:hAnsi="宋体" w:cs="Times New Roman"/>
          <w:color w:val="FF0000"/>
          <w:kern w:val="0"/>
          <w:szCs w:val="24"/>
        </w:rPr>
      </w:pPr>
      <w:r>
        <w:rPr>
          <w:rFonts w:hint="eastAsia" w:ascii="宋体" w:hAnsi="宋体" w:cs="Times New Roman"/>
          <w:color w:val="FF0000"/>
          <w:kern w:val="0"/>
          <w:szCs w:val="24"/>
        </w:rPr>
        <w:t>鉴定机构应建立文件化的鉴定申述处理程序。客户如对鉴定结论有争议，应在收到商品3日—7日内（鉴定机构根据机构等级自行规定）向鉴定机构提出异议，并申请复检。鉴定机构应通过扩大鉴定人员数量或调整相关鉴定人员等方式进行复检，并进行以下处理：</w:t>
      </w:r>
    </w:p>
    <w:p w14:paraId="3E5BB129">
      <w:pPr>
        <w:ind w:firstLine="525" w:firstLineChars="250"/>
        <w:rPr>
          <w:rFonts w:ascii="宋体" w:hAnsi="宋体" w:cs="Times New Roman"/>
          <w:color w:val="FF0000"/>
          <w:kern w:val="0"/>
          <w:szCs w:val="24"/>
        </w:rPr>
      </w:pPr>
      <w:r>
        <w:rPr>
          <w:rFonts w:hint="eastAsia" w:ascii="宋体" w:hAnsi="宋体" w:cs="Times New Roman"/>
          <w:color w:val="FF0000"/>
          <w:kern w:val="0"/>
          <w:szCs w:val="24"/>
        </w:rPr>
        <w:t>——原鉴定结论为真、复检结论为假的情况，鉴定机构应对货值进行等额赔付，退回鉴定费用；</w:t>
      </w:r>
    </w:p>
    <w:p w14:paraId="150486A4">
      <w:pPr>
        <w:ind w:firstLine="525" w:firstLineChars="250"/>
        <w:rPr>
          <w:rFonts w:ascii="宋体" w:hAnsi="宋体" w:cs="Times New Roman"/>
          <w:color w:val="FF0000"/>
          <w:kern w:val="0"/>
          <w:szCs w:val="24"/>
        </w:rPr>
      </w:pPr>
      <w:r>
        <w:rPr>
          <w:rFonts w:ascii="宋体" w:hAnsi="宋体" w:cs="Times New Roman"/>
          <w:color w:val="FF0000"/>
          <w:kern w:val="0"/>
          <w:szCs w:val="24"/>
        </w:rPr>
        <w:t>——</w:t>
      </w:r>
      <w:r>
        <w:rPr>
          <w:rFonts w:hint="eastAsia" w:ascii="宋体" w:hAnsi="宋体" w:cs="Times New Roman"/>
          <w:color w:val="FF0000"/>
          <w:kern w:val="0"/>
          <w:szCs w:val="24"/>
        </w:rPr>
        <w:t>原鉴定结论为假，复审结论为真的情况，鉴定机构应根据鉴定费用给予一定赔偿（鉴定机构自行规定）；</w:t>
      </w:r>
    </w:p>
    <w:p w14:paraId="00D7C3CE">
      <w:pPr>
        <w:ind w:firstLine="525" w:firstLineChars="250"/>
        <w:rPr>
          <w:rFonts w:hint="eastAsia" w:ascii="宋体" w:hAnsi="宋体" w:cs="Times New Roman"/>
          <w:color w:val="FF0000"/>
          <w:kern w:val="0"/>
          <w:szCs w:val="24"/>
        </w:rPr>
      </w:pPr>
      <w:r>
        <w:rPr>
          <w:rFonts w:hint="eastAsia" w:ascii="宋体" w:hAnsi="宋体" w:cs="Times New Roman"/>
          <w:color w:val="FF0000"/>
          <w:kern w:val="0"/>
          <w:szCs w:val="24"/>
        </w:rPr>
        <w:t>——两次鉴定结论不一致，鉴定机构应对客户表达歉意。</w:t>
      </w:r>
    </w:p>
    <w:p w14:paraId="792C7135">
      <w:pPr>
        <w:ind w:firstLine="525" w:firstLineChars="250"/>
        <w:rPr>
          <w:rFonts w:ascii="宋体" w:hAnsi="宋体" w:cs="Times New Roman"/>
          <w:color w:val="FF0000"/>
          <w:kern w:val="0"/>
          <w:szCs w:val="24"/>
        </w:rPr>
      </w:pPr>
      <w:r>
        <w:rPr>
          <w:rFonts w:hint="eastAsia" w:ascii="宋体" w:hAnsi="宋体" w:cs="Times New Roman"/>
          <w:color w:val="FF0000"/>
          <w:kern w:val="0"/>
          <w:szCs w:val="24"/>
        </w:rPr>
        <w:t>如复检后仍存在争议，可通过相应行业组织协调处理。</w:t>
      </w:r>
    </w:p>
    <w:p w14:paraId="22B01042">
      <w:pPr>
        <w:pStyle w:val="106"/>
        <w:numPr>
          <w:ilvl w:val="0"/>
          <w:numId w:val="35"/>
        </w:numPr>
        <w:spacing w:before="240" w:after="240"/>
      </w:pPr>
      <w:r>
        <w:rPr>
          <w:rFonts w:hint="eastAsia"/>
        </w:rPr>
        <w:t>质量控制</w:t>
      </w:r>
    </w:p>
    <w:p w14:paraId="1AEEAEF0">
      <w:pPr>
        <w:pStyle w:val="107"/>
        <w:numPr>
          <w:ilvl w:val="1"/>
          <w:numId w:val="41"/>
        </w:numPr>
        <w:spacing w:before="120" w:after="120"/>
      </w:pPr>
      <w:r>
        <w:rPr>
          <w:rFonts w:hint="eastAsia"/>
        </w:rPr>
        <w:t>内部审核</w:t>
      </w:r>
    </w:p>
    <w:p w14:paraId="53F39800">
      <w:pPr>
        <w:widowControl/>
        <w:ind w:firstLine="420"/>
        <w:rPr>
          <w:rFonts w:ascii="宋体" w:hAnsi="宋体" w:cs="Times New Roman"/>
          <w:kern w:val="0"/>
          <w:szCs w:val="24"/>
        </w:rPr>
      </w:pPr>
      <w:r>
        <w:rPr>
          <w:rFonts w:hint="eastAsia" w:ascii="宋体" w:hAnsi="宋体" w:cs="Times New Roman"/>
          <w:kern w:val="0"/>
          <w:szCs w:val="24"/>
        </w:rPr>
        <w:t>鉴定机构应定期开展内部审核，参与行业能力验证等对比活动，确保鉴定流程和结果的准确性、一致性和合规性。内部审核覆盖所有关键环节，包括但不限于样品管理、检测方法、设备校准、数据记录和报告出具等。审核结果形成书面报告，并针对发现的问题制定纠正措施和预防措施，确保问题得到有效整改。内部审核的频率至少每年一次，或根据实际情况和风险等级进行调整。</w:t>
      </w:r>
    </w:p>
    <w:p w14:paraId="098B9961">
      <w:pPr>
        <w:pStyle w:val="107"/>
        <w:numPr>
          <w:ilvl w:val="1"/>
          <w:numId w:val="41"/>
        </w:numPr>
        <w:spacing w:before="120" w:after="120"/>
      </w:pPr>
      <w:r>
        <w:rPr>
          <w:rFonts w:hint="eastAsia"/>
        </w:rPr>
        <w:t>外部监督</w:t>
      </w:r>
    </w:p>
    <w:p w14:paraId="1103A805">
      <w:pPr>
        <w:widowControl/>
        <w:ind w:firstLine="420"/>
        <w:rPr>
          <w:rFonts w:ascii="宋体" w:hAnsi="宋体" w:cs="Times New Roman"/>
          <w:kern w:val="0"/>
          <w:szCs w:val="24"/>
        </w:rPr>
      </w:pPr>
      <w:r>
        <w:rPr>
          <w:rFonts w:hint="eastAsia" w:ascii="宋体" w:hAnsi="宋体" w:cs="Times New Roman"/>
          <w:kern w:val="0"/>
          <w:szCs w:val="24"/>
        </w:rPr>
        <w:t>鉴定机构应接受相关主管部门的监督和检查。外部监督包括但不限于相关国家单位和行业组织</w:t>
      </w:r>
      <w:r>
        <w:rPr>
          <w:rFonts w:ascii="宋体" w:hAnsi="宋体" w:cs="Times New Roman"/>
          <w:kern w:val="0"/>
          <w:szCs w:val="24"/>
        </w:rPr>
        <w:t>的定期评审、飞行检查或专项监督。对于外部监督中发现的不符合项，及时采取纠正措施，并在规定时间内提交整改报告，确保问题得到有效解决。</w:t>
      </w:r>
    </w:p>
    <w:p w14:paraId="0544B035">
      <w:pPr>
        <w:spacing w:before="120" w:beforeLines="50" w:after="120" w:afterLines="50"/>
        <w:outlineLvl w:val="2"/>
        <w:rPr>
          <w:rFonts w:ascii="黑体" w:hAnsi="黑体" w:eastAsia="黑体" w:cs="Times New Roman"/>
          <w:color w:val="000000"/>
          <w:szCs w:val="21"/>
        </w:rPr>
      </w:pPr>
    </w:p>
    <w:bookmarkEnd w:id="3"/>
    <w:p w14:paraId="1FF9B968">
      <w:pPr>
        <w:pStyle w:val="252"/>
        <w:spacing w:before="120" w:after="120"/>
        <w:rPr>
          <w:spacing w:val="120"/>
          <w:lang w:eastAsia="zh-CN"/>
        </w:rPr>
      </w:pPr>
      <w:bookmarkStart w:id="39" w:name="_Toc122946092"/>
      <w:bookmarkStart w:id="40" w:name="_Toc192922926"/>
      <w:bookmarkStart w:id="41" w:name="BookMark5"/>
      <w:r>
        <w:rPr>
          <w:spacing w:val="120"/>
          <w:lang w:eastAsia="zh-CN"/>
        </w:rPr>
        <w:t>参考文献</w:t>
      </w:r>
      <w:bookmarkEnd w:id="39"/>
      <w:bookmarkEnd w:id="40"/>
    </w:p>
    <w:p w14:paraId="57E63AB2">
      <w:pPr>
        <w:pStyle w:val="232"/>
        <w:numPr>
          <w:ilvl w:val="0"/>
          <w:numId w:val="42"/>
        </w:numPr>
        <w:rPr>
          <w:rFonts w:hAnsi="Times New Roman" w:cs="Times New Roman"/>
          <w:color w:val="000000"/>
          <w:sz w:val="21"/>
          <w:szCs w:val="21"/>
        </w:rPr>
      </w:pPr>
      <w:r>
        <w:rPr>
          <w:rFonts w:hint="eastAsia" w:hAnsi="Times New Roman" w:cs="Times New Roman"/>
          <w:color w:val="000000"/>
          <w:sz w:val="21"/>
          <w:szCs w:val="21"/>
        </w:rPr>
        <w:t xml:space="preserve"> T/CIQA 101—2024品牌皮具鉴定通用技术规范</w:t>
      </w:r>
    </w:p>
    <w:p w14:paraId="3B80A3CD">
      <w:pPr>
        <w:pStyle w:val="232"/>
        <w:numPr>
          <w:ilvl w:val="0"/>
          <w:numId w:val="42"/>
        </w:numPr>
        <w:rPr>
          <w:rFonts w:hAnsi="Times New Roman" w:cs="Times New Roman"/>
          <w:color w:val="000000"/>
          <w:sz w:val="21"/>
          <w:szCs w:val="21"/>
        </w:rPr>
      </w:pPr>
      <w:r>
        <w:rPr>
          <w:rFonts w:hint="eastAsia" w:hAnsi="Times New Roman" w:cs="Times New Roman"/>
          <w:color w:val="000000"/>
          <w:sz w:val="21"/>
          <w:szCs w:val="21"/>
        </w:rPr>
        <w:t xml:space="preserve"> T/CIQA XXXX—XXXX品牌鞋服鉴定通用技术规范</w:t>
      </w:r>
    </w:p>
    <w:p w14:paraId="6FBD36D3">
      <w:pPr>
        <w:pStyle w:val="232"/>
        <w:numPr>
          <w:ilvl w:val="0"/>
          <w:numId w:val="42"/>
        </w:numPr>
        <w:rPr>
          <w:rFonts w:hAnsi="Times New Roman" w:cs="Times New Roman"/>
          <w:color w:val="000000"/>
          <w:sz w:val="21"/>
          <w:szCs w:val="21"/>
        </w:rPr>
      </w:pPr>
      <w:r>
        <w:rPr>
          <w:rFonts w:hint="eastAsia" w:hAnsi="Times New Roman" w:cs="Times New Roman"/>
          <w:color w:val="000000"/>
          <w:sz w:val="21"/>
          <w:szCs w:val="21"/>
        </w:rPr>
        <w:t xml:space="preserve"> T/CIQA XXXX—XXXX品牌饰品鉴定通用技术规范</w:t>
      </w:r>
    </w:p>
    <w:p w14:paraId="68AD1A8D">
      <w:pPr>
        <w:pStyle w:val="232"/>
        <w:numPr>
          <w:ilvl w:val="0"/>
          <w:numId w:val="42"/>
        </w:numPr>
        <w:rPr>
          <w:rFonts w:hAnsi="Times New Roman" w:cs="Times New Roman"/>
          <w:color w:val="000000"/>
          <w:sz w:val="21"/>
          <w:szCs w:val="21"/>
        </w:rPr>
      </w:pPr>
      <w:r>
        <w:rPr>
          <w:rFonts w:hint="eastAsia" w:hAnsi="Times New Roman" w:cs="Times New Roman"/>
          <w:color w:val="000000"/>
          <w:sz w:val="21"/>
          <w:szCs w:val="21"/>
        </w:rPr>
        <w:t xml:space="preserve"> T/CIQA XXXX—XXXX XXX鉴定通用技术规范</w:t>
      </w:r>
    </w:p>
    <w:p w14:paraId="45FFEBB1">
      <w:pPr>
        <w:pStyle w:val="232"/>
        <w:numPr>
          <w:ilvl w:val="0"/>
          <w:numId w:val="42"/>
        </w:numPr>
        <w:rPr>
          <w:rFonts w:hAnsi="Times New Roman" w:cs="Times New Roman"/>
          <w:color w:val="000000"/>
          <w:sz w:val="21"/>
          <w:szCs w:val="21"/>
        </w:rPr>
      </w:pPr>
      <w:r>
        <w:rPr>
          <w:rFonts w:hAnsi="Times New Roman" w:cs="Times New Roman"/>
          <w:color w:val="000000"/>
          <w:sz w:val="21"/>
          <w:szCs w:val="21"/>
        </w:rPr>
        <w:t>…………</w:t>
      </w:r>
    </w:p>
    <w:bookmarkEnd w:id="41"/>
    <w:p w14:paraId="26E2BD66">
      <w:pPr>
        <w:widowControl/>
        <w:ind w:firstLine="420"/>
        <w:rPr>
          <w:rFonts w:ascii="宋体" w:hAnsi="Times New Roman" w:cs="Times New Roman"/>
          <w:color w:val="000000"/>
          <w:kern w:val="0"/>
          <w:szCs w:val="21"/>
        </w:rPr>
      </w:pPr>
    </w:p>
    <w:p w14:paraId="6BF19A06">
      <w:pPr>
        <w:framePr w:w="2552" w:h="284" w:hRule="exact" w:wrap="notBeside" w:vAnchor="text" w:hAnchor="text" w:xAlign="center" w:y="1"/>
        <w:widowControl/>
        <w:jc w:val="center"/>
        <w:rPr>
          <w:rFonts w:ascii="黑体" w:hAnsi="Times New Roman" w:eastAsia="黑体" w:cs="Times New Roman"/>
          <w:color w:val="000000"/>
          <w:kern w:val="0"/>
          <w:lang w:eastAsia="en-US"/>
        </w:rPr>
      </w:pPr>
      <w:sdt>
        <w:sdtPr>
          <w:rPr>
            <w:rFonts w:ascii="黑体" w:hAnsi="Times New Roman" w:eastAsia="黑体" w:cs="Times New Roman"/>
            <w:b/>
            <w:bCs/>
            <w:color w:val="000000"/>
            <w:kern w:val="0"/>
            <w:lang w:eastAsia="en-US"/>
          </w:rPr>
          <w:alias w:val="终结线"/>
          <w:tag w:val="终结线"/>
          <w:id w:val="-605819273"/>
          <w:lock w:val="contentLocked"/>
          <w:placeholder>
            <w:docPart w:val="6C7A13BFE2563549A0A95389AA38C87A"/>
          </w:placeholder>
          <w:text/>
        </w:sdtPr>
        <w:sdtEndPr>
          <w:rPr>
            <w:rFonts w:ascii="黑体" w:hAnsi="Times New Roman" w:eastAsia="黑体" w:cs="Times New Roman"/>
            <w:b/>
            <w:bCs/>
            <w:color w:val="000000"/>
            <w:kern w:val="0"/>
            <w:lang w:eastAsia="en-US"/>
          </w:rPr>
        </w:sdtEndPr>
        <w:sdtContent>
          <w:r>
            <w:rPr>
              <w:rFonts w:ascii="黑体" w:hAnsi="Times New Roman" w:eastAsia="黑体" w:cs="Times New Roman"/>
              <w:b/>
              <w:bCs/>
              <w:color w:val="000000"/>
              <w:kern w:val="0"/>
              <w:lang w:eastAsia="en-US"/>
            </w:rPr>
            <w:t>______________________</w:t>
          </w:r>
        </w:sdtContent>
      </w:sdt>
    </w:p>
    <w:p w14:paraId="558CA370">
      <w:pPr>
        <w:widowControl/>
        <w:jc w:val="left"/>
        <w:rPr>
          <w:rFonts w:ascii="宋体" w:hAnsi="宋体" w:cs="宋体"/>
          <w:kern w:val="0"/>
          <w:sz w:val="24"/>
          <w:szCs w:val="24"/>
        </w:rPr>
      </w:pPr>
    </w:p>
    <w:p w14:paraId="4047250A">
      <w:pPr>
        <w:widowControl/>
        <w:autoSpaceDE w:val="0"/>
        <w:autoSpaceDN w:val="0"/>
        <w:ind w:firstLine="420" w:firstLineChars="200"/>
        <w:rPr>
          <w:rFonts w:ascii="宋体" w:hAnsi="Times New Roman" w:cs="Times New Roman"/>
          <w:kern w:val="0"/>
          <w:szCs w:val="20"/>
        </w:rPr>
      </w:pPr>
    </w:p>
    <w:p w14:paraId="1F126BD4">
      <w:pPr>
        <w:widowControl/>
        <w:autoSpaceDE w:val="0"/>
        <w:autoSpaceDN w:val="0"/>
        <w:ind w:firstLine="420" w:firstLineChars="200"/>
        <w:rPr>
          <w:rFonts w:ascii="宋体" w:hAnsi="Times New Roman" w:cs="Times New Roman"/>
          <w:kern w:val="0"/>
          <w:szCs w:val="20"/>
        </w:rPr>
      </w:pPr>
    </w:p>
    <w:p w14:paraId="2AF47BBD">
      <w:pPr>
        <w:jc w:val="center"/>
      </w:pPr>
    </w:p>
    <w:sectPr>
      <w:pgSz w:w="11906" w:h="16838"/>
      <w:pgMar w:top="2410"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STZhongsong">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CD791">
    <w:pPr>
      <w:pStyle w:val="18"/>
    </w:pPr>
    <w:r>
      <w:fldChar w:fldCharType="begin"/>
    </w:r>
    <w:r>
      <w:instrText xml:space="preserve">PAGE   \* MERGEFORMAT</w:instrText>
    </w:r>
    <w:r>
      <w:fldChar w:fldCharType="separate"/>
    </w:r>
    <w:r>
      <w:rPr>
        <w:lang w:val="zh-CN"/>
      </w:rPr>
      <w:t>6</w:t>
    </w:r>
    <w:r>
      <w:fldChar w:fldCharType="end"/>
    </w:r>
  </w:p>
  <w:p w14:paraId="28745EE8">
    <w:pPr>
      <w:pStyle w:val="18"/>
      <w:ind w:firstLine="9090" w:firstLineChars="50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E7A72">
    <w:pPr>
      <w:pStyle w:val="18"/>
      <w:jc w:val="right"/>
    </w:pPr>
    <w:r>
      <w:fldChar w:fldCharType="begin"/>
    </w:r>
    <w:r>
      <w:instrText xml:space="preserve">PAGE   \* MERGEFORMAT</w:instrText>
    </w:r>
    <w:r>
      <w:fldChar w:fldCharType="separate"/>
    </w:r>
    <w:r>
      <w:rPr>
        <w:lang w:val="zh-CN"/>
      </w:rPr>
      <w:t>1</w:t>
    </w:r>
    <w:r>
      <w:fldChar w:fldCharType="end"/>
    </w:r>
  </w:p>
  <w:p w14:paraId="33265E41">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AEEFC">
    <w:pPr>
      <w:pStyle w:val="54"/>
    </w:pPr>
    <w:r>
      <w:fldChar w:fldCharType="begin"/>
    </w:r>
    <w:r>
      <w:instrText xml:space="preserve">PAGE   \* MERGEFORMAT</w:instrText>
    </w:r>
    <w:r>
      <w:fldChar w:fldCharType="separate"/>
    </w:r>
    <w:r>
      <w:rPr>
        <w:lang w:val="zh-CN"/>
      </w:rP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EAC7A">
    <w:pPr>
      <w:jc w:val="left"/>
      <w:textAlignment w:val="center"/>
      <w:rPr>
        <w:rFonts w:ascii="黑体" w:hAnsi="Times New Roman" w:eastAsia="黑体" w:cs="Times New Roman"/>
        <w:color w:val="000000"/>
        <w:kern w:val="0"/>
        <w:szCs w:val="21"/>
      </w:rPr>
    </w:pPr>
    <w:r>
      <w:rPr>
        <w:rFonts w:ascii="Times New Roman" w:hAnsi="Times New Roman" w:eastAsia="黑体" w:cs="Times New Roman"/>
        <w:color w:val="000000"/>
        <w:kern w:val="0"/>
        <w:szCs w:val="21"/>
      </w:rPr>
      <w:t>ICS</w:t>
    </w:r>
    <w:r>
      <w:rPr>
        <w:rFonts w:ascii="黑体" w:hAnsi="黑体" w:eastAsia="黑体" w:cs="Times New Roman"/>
        <w:color w:val="000000"/>
        <w:kern w:val="0"/>
        <w:szCs w:val="21"/>
      </w:rPr>
      <w:t> </w:t>
    </w:r>
    <w:r>
      <w:rPr>
        <w:rFonts w:hint="eastAsia" w:ascii="黑体" w:hAnsi="Times New Roman" w:eastAsia="黑体" w:cs="Times New Roman"/>
        <w:color w:val="000000"/>
        <w:kern w:val="0"/>
        <w:szCs w:val="21"/>
      </w:rPr>
      <w:t>6</w:t>
    </w:r>
    <w:r>
      <w:rPr>
        <w:rFonts w:ascii="黑体" w:hAnsi="Times New Roman" w:eastAsia="黑体" w:cs="Times New Roman"/>
        <w:color w:val="000000"/>
        <w:kern w:val="0"/>
        <w:szCs w:val="21"/>
      </w:rPr>
      <w:t>7</w:t>
    </w:r>
    <w:r>
      <w:rPr>
        <w:rFonts w:hint="eastAsia" w:ascii="黑体" w:hAnsi="Times New Roman" w:eastAsia="黑体" w:cs="Times New Roman"/>
        <w:color w:val="000000"/>
        <w:kern w:val="0"/>
        <w:szCs w:val="21"/>
      </w:rPr>
      <w:t>.0</w:t>
    </w:r>
    <w:r>
      <w:rPr>
        <w:rFonts w:ascii="黑体" w:hAnsi="Times New Roman" w:eastAsia="黑体" w:cs="Times New Roman"/>
        <w:color w:val="000000"/>
        <w:kern w:val="0"/>
        <w:szCs w:val="21"/>
      </w:rPr>
      <w:t>8</w:t>
    </w:r>
    <w:r>
      <w:rPr>
        <w:rFonts w:hint="eastAsia" w:ascii="黑体" w:hAnsi="Times New Roman" w:eastAsia="黑体" w:cs="Times New Roman"/>
        <w:color w:val="000000"/>
        <w:kern w:val="0"/>
        <w:szCs w:val="21"/>
      </w:rPr>
      <w:t>0</w:t>
    </w:r>
    <w:r>
      <w:rPr>
        <w:rFonts w:ascii="黑体" w:eastAsia="黑体"/>
        <w:szCs w:val="21"/>
      </w:rPr>
      <w:t>T/FDSA 001</w:t>
    </w:r>
    <w:r>
      <w:rPr>
        <w:rFonts w:hint="eastAsia" w:ascii="黑体" w:eastAsia="黑体"/>
        <w:szCs w:val="21"/>
      </w:rPr>
      <w:t>-20</w:t>
    </w:r>
    <w:r>
      <w:rPr>
        <w:rFonts w:ascii="黑体" w:eastAsia="黑体"/>
        <w:szCs w:val="21"/>
      </w:rPr>
      <w:t>20</w:t>
    </w:r>
  </w:p>
  <w:p w14:paraId="342EA38D">
    <w:pPr>
      <w:jc w:val="left"/>
      <w:textAlignment w:val="center"/>
      <w:rPr>
        <w:rFonts w:ascii="黑体" w:hAnsi="Times New Roman" w:eastAsia="黑体" w:cs="Times New Roman"/>
        <w:color w:val="000000"/>
        <w:kern w:val="0"/>
        <w:szCs w:val="21"/>
      </w:rPr>
    </w:pPr>
    <w:r>
      <w:rPr>
        <w:rFonts w:hint="eastAsia" w:ascii="黑体" w:hAnsi="Times New Roman" w:eastAsia="黑体" w:cs="Times New Roman"/>
        <w:color w:val="000000"/>
        <w:kern w:val="0"/>
        <w:szCs w:val="21"/>
      </w:rPr>
      <w:t xml:space="preserve">X </w:t>
    </w:r>
    <w:r>
      <w:rPr>
        <w:rFonts w:ascii="黑体" w:hAnsi="Times New Roman" w:eastAsia="黑体" w:cs="Times New Roman"/>
        <w:color w:val="000000"/>
        <w:kern w:val="0"/>
        <w:szCs w:val="21"/>
      </w:rPr>
      <w:t xml:space="preserve">26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C7BBA">
    <w:pPr>
      <w:pStyle w:val="63"/>
      <w:wordWrap w:val="0"/>
    </w:pPr>
    <w:r>
      <w:t>T/CIQA XXXX</w:t>
    </w:r>
    <w:r>
      <w:rPr>
        <w:rFonts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C1CE3">
    <w:pPr>
      <w:pStyle w:val="19"/>
      <w:jc w:val="right"/>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6412E49"/>
    <w:multiLevelType w:val="multilevel"/>
    <w:tmpl w:val="06412E49"/>
    <w:lvl w:ilvl="0" w:tentative="0">
      <w:start w:val="1"/>
      <w:numFmt w:val="lowerLetter"/>
      <w:pStyle w:val="253"/>
      <w:lvlText w:val="%1"/>
      <w:lvlJc w:val="left"/>
      <w:pPr>
        <w:ind w:left="482" w:hanging="119"/>
      </w:pPr>
      <w:rPr>
        <w:rFonts w:hint="eastAsia" w:ascii="宋体" w:eastAsia="宋体"/>
        <w:b w:val="0"/>
        <w:i w:val="0"/>
        <w:color w:val="auto"/>
        <w:sz w:val="18"/>
        <w:vertAlign w:val="superscript"/>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6993CF5"/>
    <w:multiLevelType w:val="multilevel"/>
    <w:tmpl w:val="06993CF5"/>
    <w:lvl w:ilvl="0" w:tentative="0">
      <w:start w:val="1"/>
      <w:numFmt w:val="decimal"/>
      <w:lvlText w:val="[%1]"/>
      <w:lvlJc w:val="left"/>
      <w:pPr>
        <w:ind w:left="860" w:hanging="44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
    <w:nsid w:val="07253BE0"/>
    <w:multiLevelType w:val="multilevel"/>
    <w:tmpl w:val="07253BE0"/>
    <w:lvl w:ilvl="0" w:tentative="0">
      <w:start w:val="8"/>
      <w:numFmt w:val="decimal"/>
      <w:lvlText w:val="%1"/>
      <w:lvlJc w:val="left"/>
      <w:pPr>
        <w:ind w:left="360" w:hanging="360"/>
      </w:pPr>
      <w:rPr>
        <w:rFonts w:hint="default"/>
      </w:rPr>
    </w:lvl>
    <w:lvl w:ilvl="1" w:tentative="0">
      <w:start w:val="1"/>
      <w:numFmt w:val="decimal"/>
      <w:lvlText w:val="5.%2"/>
      <w:lvlJc w:val="left"/>
      <w:pPr>
        <w:ind w:left="440" w:hanging="440"/>
      </w:pPr>
      <w:rPr>
        <w:rFonts w:hint="eastAsia"/>
      </w:rPr>
    </w:lvl>
    <w:lvl w:ilvl="2" w:tentative="0">
      <w:start w:val="1"/>
      <w:numFmt w:val="decimal"/>
      <w:lvlText w:val="%1.%2.%3"/>
      <w:lvlJc w:val="left"/>
      <w:pPr>
        <w:ind w:left="1080" w:hanging="108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5">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6">
    <w:nsid w:val="0ADF49ED"/>
    <w:multiLevelType w:val="multilevel"/>
    <w:tmpl w:val="0ADF49ED"/>
    <w:lvl w:ilvl="0" w:tentative="0">
      <w:start w:val="8"/>
      <w:numFmt w:val="decimal"/>
      <w:lvlText w:val="%1"/>
      <w:lvlJc w:val="left"/>
      <w:pPr>
        <w:ind w:left="360" w:hanging="360"/>
      </w:pPr>
      <w:rPr>
        <w:rFonts w:hint="default"/>
      </w:rPr>
    </w:lvl>
    <w:lvl w:ilvl="1" w:tentative="0">
      <w:start w:val="1"/>
      <w:numFmt w:val="decimal"/>
      <w:lvlText w:val="7.%2"/>
      <w:lvlJc w:val="left"/>
      <w:pPr>
        <w:ind w:left="440" w:hanging="440"/>
      </w:pPr>
      <w:rPr>
        <w:rFonts w:hint="eastAsia"/>
      </w:rPr>
    </w:lvl>
    <w:lvl w:ilvl="2" w:tentative="0">
      <w:start w:val="1"/>
      <w:numFmt w:val="decimal"/>
      <w:lvlText w:val="%1.%2.%3"/>
      <w:lvlJc w:val="left"/>
      <w:pPr>
        <w:ind w:left="1080" w:hanging="108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7">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tentative="0">
      <w:start w:val="1"/>
      <w:numFmt w:val="decimal"/>
      <w:pStyle w:val="246"/>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0">
    <w:nsid w:val="133E57EF"/>
    <w:multiLevelType w:val="multilevel"/>
    <w:tmpl w:val="133E57EF"/>
    <w:lvl w:ilvl="0" w:tentative="0">
      <w:start w:val="1"/>
      <w:numFmt w:val="decimal"/>
      <w:lvlText w:val="3.%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3">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4">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37B02989"/>
    <w:multiLevelType w:val="multilevel"/>
    <w:tmpl w:val="37B02989"/>
    <w:lvl w:ilvl="0" w:tentative="0">
      <w:start w:val="1"/>
      <w:numFmt w:val="none"/>
      <w:pStyle w:val="251"/>
      <w:suff w:val="nothing"/>
      <w:lvlText w:val="注："/>
      <w:lvlJc w:val="left"/>
      <w:pPr>
        <w:ind w:left="726" w:hanging="363"/>
      </w:pPr>
      <w:rPr>
        <w:rFonts w:hint="eastAsia" w:eastAsia="黑体"/>
        <w:sz w:val="18"/>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40BA72D8"/>
    <w:multiLevelType w:val="multilevel"/>
    <w:tmpl w:val="40BA72D8"/>
    <w:lvl w:ilvl="0" w:tentative="0">
      <w:start w:val="8"/>
      <w:numFmt w:val="decimal"/>
      <w:lvlText w:val="%1"/>
      <w:lvlJc w:val="left"/>
      <w:pPr>
        <w:ind w:left="360" w:hanging="360"/>
      </w:pPr>
      <w:rPr>
        <w:rFonts w:hint="default"/>
      </w:rPr>
    </w:lvl>
    <w:lvl w:ilvl="1" w:tentative="0">
      <w:start w:val="1"/>
      <w:numFmt w:val="decimal"/>
      <w:lvlText w:val="6.%2"/>
      <w:lvlJc w:val="left"/>
      <w:pPr>
        <w:ind w:left="440" w:hanging="440"/>
      </w:pPr>
      <w:rPr>
        <w:rFonts w:hint="eastAsia"/>
      </w:rPr>
    </w:lvl>
    <w:lvl w:ilvl="2" w:tentative="0">
      <w:start w:val="1"/>
      <w:numFmt w:val="decimal"/>
      <w:lvlText w:val="%1.%2.%3"/>
      <w:lvlJc w:val="left"/>
      <w:pPr>
        <w:ind w:left="1080" w:hanging="108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8">
    <w:nsid w:val="448B51FD"/>
    <w:multiLevelType w:val="multilevel"/>
    <w:tmpl w:val="448B51FD"/>
    <w:lvl w:ilvl="0" w:tentative="0">
      <w:start w:val="6"/>
      <w:numFmt w:val="decimal"/>
      <w:lvlText w:val="%1"/>
      <w:lvlJc w:val="left"/>
      <w:pPr>
        <w:ind w:left="520" w:hanging="520"/>
      </w:pPr>
      <w:rPr>
        <w:rFonts w:hint="default"/>
      </w:rPr>
    </w:lvl>
    <w:lvl w:ilvl="1" w:tentative="0">
      <w:start w:val="1"/>
      <w:numFmt w:val="decimal"/>
      <w:lvlText w:val="%1.%2"/>
      <w:lvlJc w:val="left"/>
      <w:pPr>
        <w:ind w:left="520" w:hanging="5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9">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2">
    <w:nsid w:val="4C1A5465"/>
    <w:multiLevelType w:val="multilevel"/>
    <w:tmpl w:val="4C1A5465"/>
    <w:lvl w:ilvl="0" w:tentative="0">
      <w:start w:val="1"/>
      <w:numFmt w:val="decimal"/>
      <w:pStyle w:val="245"/>
      <w:suff w:val="nothing"/>
      <w:lvlText w:val="[%1]  "/>
      <w:lvlJc w:val="left"/>
      <w:pPr>
        <w:ind w:left="624" w:hanging="624"/>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4">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5">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6">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7">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1D45A5B"/>
    <w:multiLevelType w:val="multilevel"/>
    <w:tmpl w:val="61D45A5B"/>
    <w:lvl w:ilvl="0" w:tentative="0">
      <w:start w:val="1"/>
      <w:numFmt w:val="decimal"/>
      <w:suff w:val="nothing"/>
      <w:lvlText w:val="%1  "/>
      <w:lvlJc w:val="left"/>
      <w:pPr>
        <w:ind w:left="425" w:hanging="425"/>
      </w:pPr>
      <w:rPr>
        <w:rFonts w:hint="eastAsia" w:ascii="黑体" w:eastAsia="黑体"/>
        <w:b w:val="0"/>
        <w:i w:val="0"/>
        <w:color w:val="auto"/>
        <w:sz w:val="21"/>
      </w:rPr>
    </w:lvl>
    <w:lvl w:ilvl="1" w:tentative="0">
      <w:start w:val="1"/>
      <w:numFmt w:val="decimal"/>
      <w:suff w:val="nothing"/>
      <w:lvlText w:val="%1.%2  "/>
      <w:lvlJc w:val="left"/>
      <w:pPr>
        <w:ind w:left="0" w:firstLine="0"/>
      </w:pPr>
      <w:rPr>
        <w:rFonts w:hint="eastAsia" w:ascii="黑体" w:eastAsia="黑体"/>
        <w:b w:val="0"/>
        <w:i w:val="0"/>
        <w:color w:val="auto"/>
        <w:sz w:val="21"/>
      </w:rPr>
    </w:lvl>
    <w:lvl w:ilvl="2" w:tentative="0">
      <w:start w:val="1"/>
      <w:numFmt w:val="decimal"/>
      <w:pStyle w:val="238"/>
      <w:suff w:val="nothing"/>
      <w:lvlText w:val="%1.%2.%3  "/>
      <w:lvlJc w:val="left"/>
      <w:pPr>
        <w:ind w:left="0" w:firstLine="0"/>
      </w:pPr>
      <w:rPr>
        <w:rFonts w:hint="eastAsia" w:ascii="黑体" w:eastAsia="黑体"/>
        <w:b w:val="0"/>
        <w:i w:val="0"/>
        <w:color w:val="auto"/>
        <w:sz w:val="21"/>
      </w:rPr>
    </w:lvl>
    <w:lvl w:ilvl="3" w:tentative="0">
      <w:start w:val="1"/>
      <w:numFmt w:val="decimal"/>
      <w:suff w:val="nothing"/>
      <w:lvlText w:val="%1.%2.%3.%4  "/>
      <w:lvlJc w:val="left"/>
      <w:pPr>
        <w:ind w:left="0" w:firstLine="0"/>
      </w:pPr>
      <w:rPr>
        <w:rFonts w:hint="eastAsia" w:ascii="黑体" w:eastAsia="黑体"/>
        <w:b w:val="0"/>
        <w:i w:val="0"/>
        <w:color w:val="auto"/>
        <w:sz w:val="21"/>
      </w:rPr>
    </w:lvl>
    <w:lvl w:ilvl="4" w:tentative="0">
      <w:start w:val="1"/>
      <w:numFmt w:val="decimal"/>
      <w:suff w:val="nothing"/>
      <w:lvlText w:val="%1.%2.%3.%4.%5  "/>
      <w:lvlJc w:val="left"/>
      <w:pPr>
        <w:ind w:left="0" w:firstLine="0"/>
      </w:pPr>
      <w:rPr>
        <w:rFonts w:hint="eastAsia" w:ascii="黑体" w:eastAsia="黑体"/>
        <w:b w:val="0"/>
        <w:i w:val="0"/>
        <w:color w:val="auto"/>
        <w:sz w:val="21"/>
      </w:rPr>
    </w:lvl>
    <w:lvl w:ilvl="5" w:tentative="0">
      <w:start w:val="1"/>
      <w:numFmt w:val="decimal"/>
      <w:suff w:val="nothing"/>
      <w:lvlText w:val="%1.%2.%3.%4.%5.%6  "/>
      <w:lvlJc w:val="left"/>
      <w:pPr>
        <w:ind w:left="0" w:firstLine="0"/>
      </w:pPr>
      <w:rPr>
        <w:rFonts w:hint="eastAsia" w:ascii="黑体" w:eastAsia="黑体"/>
        <w:b w:val="0"/>
        <w:i w:val="0"/>
        <w:color w:val="auto"/>
        <w:sz w:val="21"/>
      </w:rPr>
    </w:lvl>
    <w:lvl w:ilvl="6" w:tentative="0">
      <w:start w:val="1"/>
      <w:numFmt w:val="decimal"/>
      <w:suff w:val="nothing"/>
      <w:lvlText w:val="%1.%2.%3.%4.%5.%6.%7"/>
      <w:lvlJc w:val="left"/>
      <w:pPr>
        <w:ind w:left="0" w:firstLine="0"/>
      </w:pPr>
      <w:rPr>
        <w:rFonts w:hint="eastAsia" w:ascii="黑体" w:eastAsia="黑体"/>
        <w:b w:val="0"/>
        <w:i w:val="0"/>
        <w:color w:val="auto"/>
        <w:sz w:val="21"/>
      </w:rPr>
    </w:lvl>
    <w:lvl w:ilvl="7" w:tentative="0">
      <w:start w:val="1"/>
      <w:numFmt w:val="decimal"/>
      <w:suff w:val="nothing"/>
      <w:lvlText w:val="%1.%2.%3.%4.%5.%6.%7.%8"/>
      <w:lvlJc w:val="left"/>
      <w:pPr>
        <w:ind w:left="0" w:firstLine="0"/>
      </w:pPr>
      <w:rPr>
        <w:rFonts w:hint="eastAsia" w:ascii="黑体" w:eastAsia="黑体"/>
        <w:b w:val="0"/>
        <w:i w:val="0"/>
        <w:color w:val="auto"/>
        <w:sz w:val="21"/>
      </w:rPr>
    </w:lvl>
    <w:lvl w:ilvl="8" w:tentative="0">
      <w:start w:val="1"/>
      <w:numFmt w:val="decimal"/>
      <w:suff w:val="nothing"/>
      <w:lvlText w:val="%1.%2.%3.%4.%5.%6.%7.%8.%9"/>
      <w:lvlJc w:val="left"/>
      <w:pPr>
        <w:ind w:left="0" w:firstLine="0"/>
      </w:pPr>
      <w:rPr>
        <w:rFonts w:hint="eastAsia" w:ascii="黑体" w:eastAsia="黑体"/>
        <w:b w:val="0"/>
        <w:i w:val="0"/>
        <w:color w:val="auto"/>
        <w:sz w:val="21"/>
      </w:rPr>
    </w:lvl>
  </w:abstractNum>
  <w:abstractNum w:abstractNumId="29">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30">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1">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32">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3">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4">
    <w:nsid w:val="6C234AAC"/>
    <w:multiLevelType w:val="multilevel"/>
    <w:tmpl w:val="6C234AAC"/>
    <w:lvl w:ilvl="0" w:tentative="0">
      <w:start w:val="1"/>
      <w:numFmt w:val="decimal"/>
      <w:pStyle w:val="247"/>
      <w:suff w:val="nothing"/>
      <w:lvlText w:val="示例 %1："/>
      <w:lvlJc w:val="left"/>
      <w:pPr>
        <w:ind w:left="488" w:firstLine="363"/>
      </w:pPr>
      <w:rPr>
        <w:rFonts w:hint="eastAsia" w:eastAsia="黑体"/>
        <w:color w:val="auto"/>
        <w:sz w:val="18"/>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DAD648B"/>
    <w:multiLevelType w:val="multilevel"/>
    <w:tmpl w:val="6DAD648B"/>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1">
    <w:nsid w:val="76D17E72"/>
    <w:multiLevelType w:val="multilevel"/>
    <w:tmpl w:val="76D17E72"/>
    <w:lvl w:ilvl="0" w:tentative="0">
      <w:start w:val="8"/>
      <w:numFmt w:val="decimal"/>
      <w:lvlText w:val="%1"/>
      <w:lvlJc w:val="left"/>
      <w:pPr>
        <w:ind w:left="360" w:hanging="360"/>
      </w:pPr>
      <w:rPr>
        <w:rFonts w:hint="default"/>
      </w:rPr>
    </w:lvl>
    <w:lvl w:ilvl="1" w:tentative="0">
      <w:start w:val="1"/>
      <w:numFmt w:val="decimal"/>
      <w:lvlText w:val="5.%2"/>
      <w:lvlJc w:val="left"/>
      <w:pPr>
        <w:ind w:left="440" w:hanging="440"/>
      </w:pPr>
      <w:rPr>
        <w:rFonts w:hint="eastAsia"/>
      </w:rPr>
    </w:lvl>
    <w:lvl w:ilvl="2" w:tentative="0">
      <w:start w:val="1"/>
      <w:numFmt w:val="decimal"/>
      <w:lvlText w:val="%1.%2.%3"/>
      <w:lvlJc w:val="left"/>
      <w:pPr>
        <w:ind w:left="1080" w:hanging="108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 w:numId="2">
    <w:abstractNumId w:val="32"/>
  </w:num>
  <w:num w:numId="3">
    <w:abstractNumId w:val="26"/>
  </w:num>
  <w:num w:numId="4">
    <w:abstractNumId w:val="20"/>
  </w:num>
  <w:num w:numId="5">
    <w:abstractNumId w:val="12"/>
  </w:num>
  <w:num w:numId="6">
    <w:abstractNumId w:val="13"/>
  </w:num>
  <w:num w:numId="7">
    <w:abstractNumId w:val="24"/>
  </w:num>
  <w:num w:numId="8">
    <w:abstractNumId w:val="35"/>
  </w:num>
  <w:num w:numId="9">
    <w:abstractNumId w:val="15"/>
  </w:num>
  <w:num w:numId="10">
    <w:abstractNumId w:val="19"/>
  </w:num>
  <w:num w:numId="11">
    <w:abstractNumId w:val="11"/>
  </w:num>
  <w:num w:numId="12">
    <w:abstractNumId w:val="27"/>
  </w:num>
  <w:num w:numId="13">
    <w:abstractNumId w:val="30"/>
  </w:num>
  <w:num w:numId="14">
    <w:abstractNumId w:val="25"/>
  </w:num>
  <w:num w:numId="15">
    <w:abstractNumId w:val="39"/>
  </w:num>
  <w:num w:numId="16">
    <w:abstractNumId w:val="23"/>
  </w:num>
  <w:num w:numId="17">
    <w:abstractNumId w:val="1"/>
  </w:num>
  <w:num w:numId="18">
    <w:abstractNumId w:val="14"/>
  </w:num>
  <w:num w:numId="19">
    <w:abstractNumId w:val="40"/>
  </w:num>
  <w:num w:numId="20">
    <w:abstractNumId w:val="29"/>
  </w:num>
  <w:num w:numId="21">
    <w:abstractNumId w:val="9"/>
  </w:num>
  <w:num w:numId="22">
    <w:abstractNumId w:val="36"/>
  </w:num>
  <w:num w:numId="23">
    <w:abstractNumId w:val="38"/>
  </w:num>
  <w:num w:numId="24">
    <w:abstractNumId w:val="5"/>
  </w:num>
  <w:num w:numId="25">
    <w:abstractNumId w:val="7"/>
  </w:num>
  <w:num w:numId="26">
    <w:abstractNumId w:val="21"/>
  </w:num>
  <w:num w:numId="27">
    <w:abstractNumId w:val="33"/>
  </w:num>
  <w:num w:numId="28">
    <w:abstractNumId w:val="31"/>
  </w:num>
  <w:num w:numId="29">
    <w:abstractNumId w:val="28"/>
  </w:num>
  <w:num w:numId="30">
    <w:abstractNumId w:val="22"/>
  </w:num>
  <w:num w:numId="31">
    <w:abstractNumId w:val="8"/>
  </w:num>
  <w:num w:numId="32">
    <w:abstractNumId w:val="34"/>
  </w:num>
  <w:num w:numId="33">
    <w:abstractNumId w:val="16"/>
  </w:num>
  <w:num w:numId="34">
    <w:abstractNumId w:val="2"/>
  </w:num>
  <w:num w:numId="35">
    <w:abstractNumId w:val="37"/>
  </w:num>
  <w:num w:numId="36">
    <w:abstractNumId w:val="10"/>
  </w:num>
  <w:num w:numId="37">
    <w:abstractNumId w:val="41"/>
  </w:num>
  <w:num w:numId="38">
    <w:abstractNumId w:val="4"/>
  </w:num>
  <w:num w:numId="39">
    <w:abstractNumId w:val="17"/>
  </w:num>
  <w:num w:numId="40">
    <w:abstractNumId w:val="18"/>
  </w:num>
  <w:num w:numId="41">
    <w:abstractNumId w:val="6"/>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ZDVkZDAzMDE4NjU0MWEzNTE4MWI5NTExOThkYjkifQ=="/>
  </w:docVars>
  <w:rsids>
    <w:rsidRoot w:val="00095762"/>
    <w:rsid w:val="00001468"/>
    <w:rsid w:val="00031F90"/>
    <w:rsid w:val="00037B21"/>
    <w:rsid w:val="000451A8"/>
    <w:rsid w:val="00052ABC"/>
    <w:rsid w:val="0005711C"/>
    <w:rsid w:val="00083A58"/>
    <w:rsid w:val="00087B58"/>
    <w:rsid w:val="00095762"/>
    <w:rsid w:val="000C6E6F"/>
    <w:rsid w:val="000C7B81"/>
    <w:rsid w:val="000E4711"/>
    <w:rsid w:val="000E6916"/>
    <w:rsid w:val="00103177"/>
    <w:rsid w:val="00111F1E"/>
    <w:rsid w:val="00125298"/>
    <w:rsid w:val="00140906"/>
    <w:rsid w:val="00145460"/>
    <w:rsid w:val="00155A2A"/>
    <w:rsid w:val="001A10A6"/>
    <w:rsid w:val="001C1214"/>
    <w:rsid w:val="001C6718"/>
    <w:rsid w:val="001F089C"/>
    <w:rsid w:val="002219EE"/>
    <w:rsid w:val="002318FC"/>
    <w:rsid w:val="002422F6"/>
    <w:rsid w:val="00261B5D"/>
    <w:rsid w:val="0026256E"/>
    <w:rsid w:val="00271753"/>
    <w:rsid w:val="00275B0A"/>
    <w:rsid w:val="0027722D"/>
    <w:rsid w:val="002913E2"/>
    <w:rsid w:val="0029143C"/>
    <w:rsid w:val="002963EA"/>
    <w:rsid w:val="00297149"/>
    <w:rsid w:val="002A1C3B"/>
    <w:rsid w:val="002C000D"/>
    <w:rsid w:val="002C0826"/>
    <w:rsid w:val="002D13AA"/>
    <w:rsid w:val="002D40F1"/>
    <w:rsid w:val="002F0496"/>
    <w:rsid w:val="002F6FE7"/>
    <w:rsid w:val="00301918"/>
    <w:rsid w:val="00304110"/>
    <w:rsid w:val="00354B7F"/>
    <w:rsid w:val="003A7005"/>
    <w:rsid w:val="003B459A"/>
    <w:rsid w:val="003C4AB9"/>
    <w:rsid w:val="003D4006"/>
    <w:rsid w:val="003E09B7"/>
    <w:rsid w:val="003E5147"/>
    <w:rsid w:val="00415503"/>
    <w:rsid w:val="00415E4D"/>
    <w:rsid w:val="00445ADC"/>
    <w:rsid w:val="00477712"/>
    <w:rsid w:val="00482C42"/>
    <w:rsid w:val="0049159D"/>
    <w:rsid w:val="00493A3D"/>
    <w:rsid w:val="004A4D6B"/>
    <w:rsid w:val="004B6836"/>
    <w:rsid w:val="004B7C81"/>
    <w:rsid w:val="004C647E"/>
    <w:rsid w:val="004E6B0A"/>
    <w:rsid w:val="0050248A"/>
    <w:rsid w:val="00510BD4"/>
    <w:rsid w:val="005163C6"/>
    <w:rsid w:val="005365ED"/>
    <w:rsid w:val="00542B96"/>
    <w:rsid w:val="00544638"/>
    <w:rsid w:val="00553026"/>
    <w:rsid w:val="00563316"/>
    <w:rsid w:val="00573DC4"/>
    <w:rsid w:val="00575AFA"/>
    <w:rsid w:val="005854EB"/>
    <w:rsid w:val="0059047A"/>
    <w:rsid w:val="00595CDC"/>
    <w:rsid w:val="005965AC"/>
    <w:rsid w:val="00597601"/>
    <w:rsid w:val="005A1C28"/>
    <w:rsid w:val="005F12FA"/>
    <w:rsid w:val="005F79DD"/>
    <w:rsid w:val="00614D2C"/>
    <w:rsid w:val="00623E5A"/>
    <w:rsid w:val="00627995"/>
    <w:rsid w:val="00631AF3"/>
    <w:rsid w:val="00650B61"/>
    <w:rsid w:val="00652831"/>
    <w:rsid w:val="00692507"/>
    <w:rsid w:val="006977EA"/>
    <w:rsid w:val="006B7D54"/>
    <w:rsid w:val="007243D2"/>
    <w:rsid w:val="007453B2"/>
    <w:rsid w:val="00751622"/>
    <w:rsid w:val="00766C95"/>
    <w:rsid w:val="00774AAC"/>
    <w:rsid w:val="00792E11"/>
    <w:rsid w:val="007A2C83"/>
    <w:rsid w:val="007E607D"/>
    <w:rsid w:val="007F27FB"/>
    <w:rsid w:val="007F4A27"/>
    <w:rsid w:val="00807318"/>
    <w:rsid w:val="00810452"/>
    <w:rsid w:val="00832944"/>
    <w:rsid w:val="00852A47"/>
    <w:rsid w:val="00852C7A"/>
    <w:rsid w:val="00870DDF"/>
    <w:rsid w:val="00916C29"/>
    <w:rsid w:val="00931C66"/>
    <w:rsid w:val="00945025"/>
    <w:rsid w:val="00966D24"/>
    <w:rsid w:val="00996C48"/>
    <w:rsid w:val="009D2F55"/>
    <w:rsid w:val="009F0CDF"/>
    <w:rsid w:val="00A2304A"/>
    <w:rsid w:val="00A32AD9"/>
    <w:rsid w:val="00A510CE"/>
    <w:rsid w:val="00A51C20"/>
    <w:rsid w:val="00A57B41"/>
    <w:rsid w:val="00A71888"/>
    <w:rsid w:val="00A71B2C"/>
    <w:rsid w:val="00A9184C"/>
    <w:rsid w:val="00A93C1C"/>
    <w:rsid w:val="00AE0E43"/>
    <w:rsid w:val="00AF4779"/>
    <w:rsid w:val="00B13606"/>
    <w:rsid w:val="00B315DA"/>
    <w:rsid w:val="00B666AD"/>
    <w:rsid w:val="00B75EE3"/>
    <w:rsid w:val="00B8391E"/>
    <w:rsid w:val="00B91086"/>
    <w:rsid w:val="00BC7570"/>
    <w:rsid w:val="00BD6C68"/>
    <w:rsid w:val="00C37048"/>
    <w:rsid w:val="00C5304A"/>
    <w:rsid w:val="00C773E6"/>
    <w:rsid w:val="00C82A3A"/>
    <w:rsid w:val="00C82F31"/>
    <w:rsid w:val="00CC6998"/>
    <w:rsid w:val="00CD64AB"/>
    <w:rsid w:val="00CF5DAD"/>
    <w:rsid w:val="00D00D78"/>
    <w:rsid w:val="00D02E8C"/>
    <w:rsid w:val="00D12FFE"/>
    <w:rsid w:val="00D33136"/>
    <w:rsid w:val="00D3663D"/>
    <w:rsid w:val="00D5463B"/>
    <w:rsid w:val="00D74910"/>
    <w:rsid w:val="00D92480"/>
    <w:rsid w:val="00D95BBE"/>
    <w:rsid w:val="00DA1AC2"/>
    <w:rsid w:val="00DC0BD7"/>
    <w:rsid w:val="00DC4440"/>
    <w:rsid w:val="00DC4F41"/>
    <w:rsid w:val="00DD0E5C"/>
    <w:rsid w:val="00DD4F92"/>
    <w:rsid w:val="00DF529B"/>
    <w:rsid w:val="00DF79C0"/>
    <w:rsid w:val="00E04A49"/>
    <w:rsid w:val="00E12D7A"/>
    <w:rsid w:val="00E26402"/>
    <w:rsid w:val="00E32F0C"/>
    <w:rsid w:val="00E40EC9"/>
    <w:rsid w:val="00E422DB"/>
    <w:rsid w:val="00E64235"/>
    <w:rsid w:val="00E67C0C"/>
    <w:rsid w:val="00EA5C45"/>
    <w:rsid w:val="00EF1269"/>
    <w:rsid w:val="00EF6117"/>
    <w:rsid w:val="00F02332"/>
    <w:rsid w:val="00F12295"/>
    <w:rsid w:val="00F268BB"/>
    <w:rsid w:val="00FA694C"/>
    <w:rsid w:val="00FE1F19"/>
    <w:rsid w:val="00FF24DE"/>
    <w:rsid w:val="07EF581E"/>
    <w:rsid w:val="22F06568"/>
    <w:rsid w:val="295C6FC4"/>
    <w:rsid w:val="475B3490"/>
    <w:rsid w:val="553B1C5E"/>
    <w:rsid w:val="64EB4FEC"/>
    <w:rsid w:val="70FE4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name="toc 8"/>
    <w:lsdException w:uiPriority="39"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7"/>
    <w:qFormat/>
    <w:uiPriority w:val="0"/>
    <w:pPr>
      <w:keepNext/>
      <w:keepLines/>
      <w:widowControl/>
      <w:spacing w:before="340" w:after="330" w:line="578" w:lineRule="auto"/>
      <w:jc w:val="left"/>
      <w:outlineLvl w:val="0"/>
    </w:pPr>
    <w:rPr>
      <w:rFonts w:ascii="宋体" w:hAnsi="宋体" w:cs="宋体"/>
      <w:b/>
      <w:bCs/>
      <w:kern w:val="44"/>
      <w:sz w:val="44"/>
      <w:szCs w:val="44"/>
    </w:rPr>
  </w:style>
  <w:style w:type="paragraph" w:styleId="3">
    <w:name w:val="heading 2"/>
    <w:basedOn w:val="1"/>
    <w:next w:val="1"/>
    <w:link w:val="38"/>
    <w:qFormat/>
    <w:uiPriority w:val="0"/>
    <w:pPr>
      <w:keepNext/>
      <w:keepLines/>
      <w:widowControl/>
      <w:spacing w:before="260" w:after="260" w:line="416" w:lineRule="auto"/>
      <w:jc w:val="left"/>
      <w:outlineLvl w:val="1"/>
    </w:pPr>
    <w:rPr>
      <w:rFonts w:ascii="Arial" w:hAnsi="Arial" w:eastAsia="黑体" w:cs="宋体"/>
      <w:b/>
      <w:bCs/>
      <w:kern w:val="0"/>
      <w:sz w:val="32"/>
      <w:szCs w:val="32"/>
    </w:rPr>
  </w:style>
  <w:style w:type="paragraph" w:styleId="4">
    <w:name w:val="heading 3"/>
    <w:basedOn w:val="1"/>
    <w:next w:val="1"/>
    <w:link w:val="39"/>
    <w:qFormat/>
    <w:uiPriority w:val="0"/>
    <w:pPr>
      <w:keepNext/>
      <w:keepLines/>
      <w:widowControl/>
      <w:spacing w:before="260" w:after="260" w:line="416" w:lineRule="auto"/>
      <w:jc w:val="left"/>
      <w:outlineLvl w:val="2"/>
    </w:pPr>
    <w:rPr>
      <w:rFonts w:ascii="宋体" w:hAnsi="宋体" w:cs="宋体"/>
      <w:b/>
      <w:bCs/>
      <w:kern w:val="0"/>
      <w:sz w:val="32"/>
      <w:szCs w:val="32"/>
    </w:rPr>
  </w:style>
  <w:style w:type="paragraph" w:styleId="5">
    <w:name w:val="heading 4"/>
    <w:basedOn w:val="1"/>
    <w:next w:val="1"/>
    <w:link w:val="40"/>
    <w:qFormat/>
    <w:uiPriority w:val="0"/>
    <w:pPr>
      <w:keepNext/>
      <w:keepLines/>
      <w:widowControl/>
      <w:spacing w:before="280" w:after="290" w:line="376" w:lineRule="auto"/>
      <w:jc w:val="left"/>
      <w:outlineLvl w:val="3"/>
    </w:pPr>
    <w:rPr>
      <w:rFonts w:ascii="Arial" w:hAnsi="Arial" w:eastAsia="黑体" w:cs="宋体"/>
      <w:b/>
      <w:bCs/>
      <w:kern w:val="0"/>
      <w:sz w:val="28"/>
      <w:szCs w:val="28"/>
    </w:rPr>
  </w:style>
  <w:style w:type="paragraph" w:styleId="6">
    <w:name w:val="heading 5"/>
    <w:basedOn w:val="1"/>
    <w:next w:val="1"/>
    <w:link w:val="41"/>
    <w:qFormat/>
    <w:uiPriority w:val="0"/>
    <w:pPr>
      <w:keepNext/>
      <w:keepLines/>
      <w:widowControl/>
      <w:spacing w:before="280" w:after="290" w:line="376" w:lineRule="auto"/>
      <w:jc w:val="left"/>
      <w:outlineLvl w:val="4"/>
    </w:pPr>
    <w:rPr>
      <w:rFonts w:ascii="宋体" w:hAnsi="宋体" w:cs="宋体"/>
      <w:b/>
      <w:bCs/>
      <w:kern w:val="0"/>
      <w:sz w:val="28"/>
      <w:szCs w:val="28"/>
    </w:rPr>
  </w:style>
  <w:style w:type="paragraph" w:styleId="7">
    <w:name w:val="heading 6"/>
    <w:basedOn w:val="1"/>
    <w:next w:val="1"/>
    <w:link w:val="42"/>
    <w:qFormat/>
    <w:uiPriority w:val="0"/>
    <w:pPr>
      <w:keepNext/>
      <w:keepLines/>
      <w:widowControl/>
      <w:spacing w:before="240" w:after="64" w:line="320" w:lineRule="auto"/>
      <w:jc w:val="left"/>
      <w:outlineLvl w:val="5"/>
    </w:pPr>
    <w:rPr>
      <w:rFonts w:ascii="Arial" w:hAnsi="Arial" w:eastAsia="黑体" w:cs="宋体"/>
      <w:b/>
      <w:bCs/>
      <w:kern w:val="0"/>
      <w:sz w:val="24"/>
      <w:szCs w:val="24"/>
    </w:rPr>
  </w:style>
  <w:style w:type="paragraph" w:styleId="8">
    <w:name w:val="heading 7"/>
    <w:basedOn w:val="1"/>
    <w:next w:val="1"/>
    <w:link w:val="43"/>
    <w:qFormat/>
    <w:uiPriority w:val="0"/>
    <w:pPr>
      <w:keepNext/>
      <w:keepLines/>
      <w:widowControl/>
      <w:spacing w:before="240" w:after="64" w:line="320" w:lineRule="auto"/>
      <w:jc w:val="left"/>
      <w:outlineLvl w:val="6"/>
    </w:pPr>
    <w:rPr>
      <w:rFonts w:ascii="宋体" w:hAnsi="宋体" w:cs="宋体"/>
      <w:b/>
      <w:bCs/>
      <w:kern w:val="0"/>
      <w:sz w:val="24"/>
      <w:szCs w:val="24"/>
    </w:rPr>
  </w:style>
  <w:style w:type="paragraph" w:styleId="9">
    <w:name w:val="heading 8"/>
    <w:basedOn w:val="1"/>
    <w:next w:val="1"/>
    <w:link w:val="44"/>
    <w:qFormat/>
    <w:uiPriority w:val="0"/>
    <w:pPr>
      <w:keepNext/>
      <w:keepLines/>
      <w:widowControl/>
      <w:spacing w:before="240" w:after="64" w:line="320" w:lineRule="auto"/>
      <w:jc w:val="left"/>
      <w:outlineLvl w:val="7"/>
    </w:pPr>
    <w:rPr>
      <w:rFonts w:ascii="Arial" w:hAnsi="Arial" w:eastAsia="黑体" w:cs="宋体"/>
      <w:kern w:val="0"/>
      <w:sz w:val="24"/>
      <w:szCs w:val="24"/>
    </w:rPr>
  </w:style>
  <w:style w:type="paragraph" w:styleId="10">
    <w:name w:val="heading 9"/>
    <w:basedOn w:val="1"/>
    <w:next w:val="1"/>
    <w:link w:val="45"/>
    <w:qFormat/>
    <w:uiPriority w:val="0"/>
    <w:pPr>
      <w:keepNext/>
      <w:keepLines/>
      <w:widowControl/>
      <w:spacing w:before="240" w:after="64" w:line="320" w:lineRule="auto"/>
      <w:jc w:val="left"/>
      <w:outlineLvl w:val="8"/>
    </w:pPr>
    <w:rPr>
      <w:rFonts w:ascii="Arial" w:hAnsi="Arial" w:eastAsia="黑体" w:cs="宋体"/>
      <w:kern w:val="0"/>
      <w:sz w:val="24"/>
      <w:szCs w:val="24"/>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widowControl/>
      <w:tabs>
        <w:tab w:val="right" w:leader="dot" w:pos="9344"/>
      </w:tabs>
      <w:spacing w:line="300" w:lineRule="exact"/>
      <w:ind w:left="1259"/>
      <w:jc w:val="left"/>
    </w:pPr>
    <w:rPr>
      <w:rFonts w:ascii="宋体" w:hAnsi="宋体" w:cs="宋体"/>
      <w:kern w:val="0"/>
      <w:sz w:val="24"/>
      <w:szCs w:val="24"/>
    </w:rPr>
  </w:style>
  <w:style w:type="paragraph" w:styleId="12">
    <w:name w:val="Normal Indent"/>
    <w:basedOn w:val="1"/>
    <w:uiPriority w:val="0"/>
    <w:pPr>
      <w:widowControl/>
      <w:ind w:firstLine="420"/>
      <w:jc w:val="left"/>
    </w:pPr>
    <w:rPr>
      <w:rFonts w:ascii="宋体" w:hAnsi="宋体" w:cs="宋体"/>
      <w:kern w:val="0"/>
      <w:sz w:val="24"/>
      <w:szCs w:val="24"/>
    </w:rPr>
  </w:style>
  <w:style w:type="paragraph" w:styleId="13">
    <w:name w:val="annotation text"/>
    <w:basedOn w:val="1"/>
    <w:link w:val="233"/>
    <w:semiHidden/>
    <w:unhideWhenUsed/>
    <w:uiPriority w:val="99"/>
    <w:pPr>
      <w:widowControl/>
      <w:jc w:val="left"/>
    </w:pPr>
    <w:rPr>
      <w:rFonts w:ascii="宋体" w:hAnsi="宋体" w:cs="宋体"/>
      <w:kern w:val="0"/>
      <w:sz w:val="24"/>
      <w:szCs w:val="24"/>
    </w:rPr>
  </w:style>
  <w:style w:type="paragraph" w:styleId="14">
    <w:name w:val="Body Text"/>
    <w:basedOn w:val="1"/>
    <w:link w:val="88"/>
    <w:uiPriority w:val="0"/>
    <w:pPr>
      <w:widowControl/>
      <w:spacing w:after="120"/>
      <w:jc w:val="left"/>
    </w:pPr>
    <w:rPr>
      <w:rFonts w:ascii="宋体" w:hAnsi="宋体" w:cs="宋体"/>
      <w:kern w:val="0"/>
      <w:sz w:val="24"/>
      <w:szCs w:val="24"/>
    </w:rPr>
  </w:style>
  <w:style w:type="paragraph" w:styleId="15">
    <w:name w:val="toc 5"/>
    <w:basedOn w:val="1"/>
    <w:next w:val="1"/>
    <w:autoRedefine/>
    <w:unhideWhenUsed/>
    <w:uiPriority w:val="39"/>
    <w:pPr>
      <w:widowControl/>
      <w:ind w:left="839"/>
      <w:jc w:val="left"/>
    </w:pPr>
    <w:rPr>
      <w:rFonts w:ascii="宋体" w:hAnsi="宋体" w:cs="宋体"/>
      <w:kern w:val="0"/>
      <w:sz w:val="24"/>
      <w:szCs w:val="24"/>
    </w:rPr>
  </w:style>
  <w:style w:type="paragraph" w:styleId="16">
    <w:name w:val="toc 3"/>
    <w:basedOn w:val="1"/>
    <w:next w:val="1"/>
    <w:autoRedefine/>
    <w:unhideWhenUsed/>
    <w:uiPriority w:val="39"/>
    <w:pPr>
      <w:widowControl/>
      <w:spacing w:line="300" w:lineRule="exact"/>
      <w:ind w:left="420"/>
      <w:jc w:val="left"/>
    </w:pPr>
    <w:rPr>
      <w:rFonts w:ascii="宋体" w:hAnsi="宋体" w:cs="宋体"/>
      <w:kern w:val="0"/>
      <w:sz w:val="24"/>
      <w:szCs w:val="24"/>
    </w:rPr>
  </w:style>
  <w:style w:type="paragraph" w:styleId="17">
    <w:name w:val="Balloon Text"/>
    <w:basedOn w:val="1"/>
    <w:link w:val="47"/>
    <w:semiHidden/>
    <w:unhideWhenUsed/>
    <w:uiPriority w:val="99"/>
    <w:pPr>
      <w:widowControl/>
      <w:jc w:val="left"/>
    </w:pPr>
    <w:rPr>
      <w:rFonts w:ascii="宋体" w:hAnsi="宋体" w:cs="宋体"/>
      <w:kern w:val="0"/>
      <w:sz w:val="18"/>
      <w:szCs w:val="18"/>
    </w:rPr>
  </w:style>
  <w:style w:type="paragraph" w:styleId="18">
    <w:name w:val="footer"/>
    <w:basedOn w:val="1"/>
    <w:link w:val="36"/>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9">
    <w:name w:val="header"/>
    <w:basedOn w:val="1"/>
    <w:link w:val="46"/>
    <w:uiPriority w:val="99"/>
    <w:pPr>
      <w:widowControl/>
      <w:tabs>
        <w:tab w:val="center" w:pos="4153"/>
        <w:tab w:val="right" w:pos="8306"/>
      </w:tabs>
      <w:snapToGrid w:val="0"/>
      <w:jc w:val="center"/>
    </w:pPr>
    <w:rPr>
      <w:rFonts w:ascii="宋体" w:hAnsi="宋体" w:cs="宋体"/>
      <w:kern w:val="0"/>
      <w:sz w:val="18"/>
      <w:szCs w:val="18"/>
    </w:rPr>
  </w:style>
  <w:style w:type="paragraph" w:styleId="20">
    <w:name w:val="toc 1"/>
    <w:basedOn w:val="1"/>
    <w:next w:val="1"/>
    <w:autoRedefine/>
    <w:unhideWhenUsed/>
    <w:uiPriority w:val="39"/>
    <w:pPr>
      <w:widowControl/>
      <w:jc w:val="left"/>
    </w:pPr>
    <w:rPr>
      <w:rFonts w:ascii="宋体" w:hAnsi="宋体" w:cs="宋体"/>
      <w:kern w:val="0"/>
      <w:sz w:val="24"/>
      <w:szCs w:val="24"/>
    </w:rPr>
  </w:style>
  <w:style w:type="paragraph" w:styleId="21">
    <w:name w:val="toc 4"/>
    <w:basedOn w:val="1"/>
    <w:next w:val="1"/>
    <w:autoRedefine/>
    <w:unhideWhenUsed/>
    <w:uiPriority w:val="39"/>
    <w:pPr>
      <w:widowControl/>
      <w:tabs>
        <w:tab w:val="right" w:leader="dot" w:pos="9344"/>
      </w:tabs>
      <w:spacing w:line="300" w:lineRule="exact"/>
      <w:ind w:left="629"/>
      <w:jc w:val="left"/>
    </w:pPr>
    <w:rPr>
      <w:rFonts w:ascii="宋体" w:hAnsi="宋体" w:cs="宋体"/>
      <w:kern w:val="0"/>
      <w:sz w:val="24"/>
      <w:szCs w:val="24"/>
    </w:rPr>
  </w:style>
  <w:style w:type="paragraph" w:styleId="22">
    <w:name w:val="footnote text"/>
    <w:basedOn w:val="1"/>
    <w:next w:val="1"/>
    <w:link w:val="101"/>
    <w:semiHidden/>
    <w:uiPriority w:val="0"/>
    <w:pPr>
      <w:widowControl/>
      <w:snapToGrid w:val="0"/>
      <w:spacing w:line="300" w:lineRule="exact"/>
      <w:ind w:left="400" w:leftChars="200" w:hanging="200" w:hangingChars="200"/>
      <w:jc w:val="left"/>
    </w:pPr>
    <w:rPr>
      <w:rFonts w:ascii="宋体" w:hAnsi="宋体" w:cs="宋体"/>
      <w:kern w:val="0"/>
      <w:sz w:val="18"/>
      <w:szCs w:val="18"/>
    </w:rPr>
  </w:style>
  <w:style w:type="paragraph" w:styleId="23">
    <w:name w:val="toc 6"/>
    <w:basedOn w:val="1"/>
    <w:next w:val="1"/>
    <w:autoRedefine/>
    <w:unhideWhenUsed/>
    <w:uiPriority w:val="39"/>
    <w:pPr>
      <w:widowControl/>
      <w:spacing w:line="300" w:lineRule="exact"/>
      <w:ind w:left="1049"/>
      <w:jc w:val="left"/>
    </w:pPr>
    <w:rPr>
      <w:rFonts w:ascii="宋体" w:hAnsi="宋体" w:cs="宋体"/>
      <w:kern w:val="0"/>
      <w:sz w:val="24"/>
      <w:szCs w:val="24"/>
    </w:rPr>
  </w:style>
  <w:style w:type="paragraph" w:styleId="24">
    <w:name w:val="table of figures"/>
    <w:basedOn w:val="1"/>
    <w:next w:val="1"/>
    <w:semiHidden/>
    <w:uiPriority w:val="0"/>
    <w:pPr>
      <w:widowControl/>
      <w:jc w:val="left"/>
    </w:pPr>
    <w:rPr>
      <w:rFonts w:ascii="宋体" w:hAnsi="宋体" w:cs="宋体"/>
      <w:kern w:val="0"/>
      <w:sz w:val="24"/>
      <w:szCs w:val="24"/>
    </w:rPr>
  </w:style>
  <w:style w:type="paragraph" w:styleId="25">
    <w:name w:val="toc 2"/>
    <w:basedOn w:val="1"/>
    <w:next w:val="1"/>
    <w:autoRedefine/>
    <w:unhideWhenUsed/>
    <w:uiPriority w:val="39"/>
    <w:pPr>
      <w:widowControl/>
      <w:tabs>
        <w:tab w:val="right" w:leader="dot" w:pos="9344"/>
      </w:tabs>
      <w:spacing w:line="300" w:lineRule="exact"/>
      <w:ind w:left="210"/>
      <w:jc w:val="left"/>
    </w:pPr>
    <w:rPr>
      <w:rFonts w:ascii="宋体" w:hAnsi="宋体" w:cs="宋体"/>
      <w:kern w:val="0"/>
      <w:sz w:val="24"/>
      <w:szCs w:val="24"/>
    </w:rPr>
  </w:style>
  <w:style w:type="paragraph" w:styleId="26">
    <w:name w:val="Title"/>
    <w:basedOn w:val="1"/>
    <w:link w:val="50"/>
    <w:qFormat/>
    <w:uiPriority w:val="0"/>
    <w:pPr>
      <w:widowControl/>
      <w:spacing w:before="240" w:after="60"/>
      <w:jc w:val="center"/>
      <w:outlineLvl w:val="0"/>
    </w:pPr>
    <w:rPr>
      <w:rFonts w:ascii="Arial" w:hAnsi="Arial" w:cs="Arial"/>
      <w:b/>
      <w:bCs/>
      <w:kern w:val="0"/>
      <w:sz w:val="32"/>
      <w:szCs w:val="32"/>
    </w:rPr>
  </w:style>
  <w:style w:type="table" w:styleId="28">
    <w:name w:val="Table Grid"/>
    <w:basedOn w:val="27"/>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uiPriority w:val="0"/>
    <w:rPr>
      <w:rFonts w:ascii="宋体" w:hAnsi="Times New Roman" w:eastAsia="宋体"/>
      <w:sz w:val="18"/>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uiPriority w:val="99"/>
    <w:rPr>
      <w:sz w:val="21"/>
      <w:szCs w:val="21"/>
    </w:rPr>
  </w:style>
  <w:style w:type="character" w:styleId="35">
    <w:name w:val="footnote reference"/>
    <w:semiHidden/>
    <w:uiPriority w:val="0"/>
    <w:rPr>
      <w:rFonts w:ascii="宋体" w:hAnsi="宋体" w:eastAsia="宋体" w:cs="Times New Roman"/>
      <w:spacing w:val="0"/>
      <w:sz w:val="18"/>
      <w:vertAlign w:val="superscript"/>
    </w:rPr>
  </w:style>
  <w:style w:type="character" w:customStyle="1" w:styleId="36">
    <w:name w:val="页脚 Char"/>
    <w:basedOn w:val="29"/>
    <w:link w:val="18"/>
    <w:qFormat/>
    <w:uiPriority w:val="99"/>
    <w:rPr>
      <w:sz w:val="18"/>
      <w:szCs w:val="18"/>
    </w:rPr>
  </w:style>
  <w:style w:type="character" w:customStyle="1" w:styleId="37">
    <w:name w:val="标题 1 Char"/>
    <w:basedOn w:val="29"/>
    <w:link w:val="2"/>
    <w:uiPriority w:val="0"/>
    <w:rPr>
      <w:rFonts w:ascii="宋体" w:hAnsi="宋体" w:eastAsia="宋体" w:cs="宋体"/>
      <w:b/>
      <w:bCs/>
      <w:kern w:val="44"/>
      <w:sz w:val="44"/>
      <w:szCs w:val="44"/>
    </w:rPr>
  </w:style>
  <w:style w:type="character" w:customStyle="1" w:styleId="38">
    <w:name w:val="标题 2 Char"/>
    <w:basedOn w:val="29"/>
    <w:link w:val="3"/>
    <w:uiPriority w:val="0"/>
    <w:rPr>
      <w:rFonts w:ascii="Arial" w:hAnsi="Arial" w:eastAsia="黑体" w:cs="宋体"/>
      <w:b/>
      <w:bCs/>
      <w:sz w:val="32"/>
      <w:szCs w:val="32"/>
    </w:rPr>
  </w:style>
  <w:style w:type="character" w:customStyle="1" w:styleId="39">
    <w:name w:val="标题 3 Char"/>
    <w:basedOn w:val="29"/>
    <w:link w:val="4"/>
    <w:qFormat/>
    <w:uiPriority w:val="0"/>
    <w:rPr>
      <w:rFonts w:ascii="宋体" w:hAnsi="宋体" w:eastAsia="宋体" w:cs="宋体"/>
      <w:b/>
      <w:bCs/>
      <w:sz w:val="32"/>
      <w:szCs w:val="32"/>
    </w:rPr>
  </w:style>
  <w:style w:type="character" w:customStyle="1" w:styleId="40">
    <w:name w:val="标题 4 Char"/>
    <w:basedOn w:val="29"/>
    <w:link w:val="5"/>
    <w:uiPriority w:val="0"/>
    <w:rPr>
      <w:rFonts w:ascii="Arial" w:hAnsi="Arial" w:eastAsia="黑体" w:cs="宋体"/>
      <w:b/>
      <w:bCs/>
      <w:sz w:val="28"/>
      <w:szCs w:val="28"/>
    </w:rPr>
  </w:style>
  <w:style w:type="character" w:customStyle="1" w:styleId="41">
    <w:name w:val="标题 5 Char"/>
    <w:basedOn w:val="29"/>
    <w:link w:val="6"/>
    <w:uiPriority w:val="0"/>
    <w:rPr>
      <w:rFonts w:ascii="宋体" w:hAnsi="宋体" w:eastAsia="宋体" w:cs="宋体"/>
      <w:b/>
      <w:bCs/>
      <w:sz w:val="28"/>
      <w:szCs w:val="28"/>
    </w:rPr>
  </w:style>
  <w:style w:type="character" w:customStyle="1" w:styleId="42">
    <w:name w:val="标题 6 Char"/>
    <w:basedOn w:val="29"/>
    <w:link w:val="7"/>
    <w:qFormat/>
    <w:uiPriority w:val="0"/>
    <w:rPr>
      <w:rFonts w:ascii="Arial" w:hAnsi="Arial" w:eastAsia="黑体" w:cs="宋体"/>
      <w:b/>
      <w:bCs/>
      <w:sz w:val="24"/>
      <w:szCs w:val="24"/>
    </w:rPr>
  </w:style>
  <w:style w:type="character" w:customStyle="1" w:styleId="43">
    <w:name w:val="标题 7 Char"/>
    <w:basedOn w:val="29"/>
    <w:link w:val="8"/>
    <w:uiPriority w:val="0"/>
    <w:rPr>
      <w:rFonts w:ascii="宋体" w:hAnsi="宋体" w:eastAsia="宋体" w:cs="宋体"/>
      <w:b/>
      <w:bCs/>
      <w:sz w:val="24"/>
      <w:szCs w:val="24"/>
    </w:rPr>
  </w:style>
  <w:style w:type="character" w:customStyle="1" w:styleId="44">
    <w:name w:val="标题 8 Char"/>
    <w:basedOn w:val="29"/>
    <w:link w:val="9"/>
    <w:uiPriority w:val="0"/>
    <w:rPr>
      <w:rFonts w:ascii="Arial" w:hAnsi="Arial" w:eastAsia="黑体" w:cs="宋体"/>
      <w:sz w:val="24"/>
      <w:szCs w:val="24"/>
    </w:rPr>
  </w:style>
  <w:style w:type="character" w:customStyle="1" w:styleId="45">
    <w:name w:val="标题 9 Char"/>
    <w:basedOn w:val="29"/>
    <w:link w:val="10"/>
    <w:qFormat/>
    <w:uiPriority w:val="0"/>
    <w:rPr>
      <w:rFonts w:ascii="Arial" w:hAnsi="Arial" w:eastAsia="黑体" w:cs="宋体"/>
      <w:sz w:val="24"/>
      <w:szCs w:val="24"/>
    </w:rPr>
  </w:style>
  <w:style w:type="character" w:customStyle="1" w:styleId="46">
    <w:name w:val="页眉 Char"/>
    <w:basedOn w:val="29"/>
    <w:link w:val="19"/>
    <w:qFormat/>
    <w:uiPriority w:val="99"/>
    <w:rPr>
      <w:rFonts w:ascii="宋体" w:hAnsi="宋体" w:eastAsia="宋体" w:cs="宋体"/>
      <w:sz w:val="18"/>
      <w:szCs w:val="18"/>
    </w:rPr>
  </w:style>
  <w:style w:type="character" w:customStyle="1" w:styleId="47">
    <w:name w:val="批注框文本 Char"/>
    <w:basedOn w:val="29"/>
    <w:link w:val="17"/>
    <w:semiHidden/>
    <w:uiPriority w:val="99"/>
    <w:rPr>
      <w:rFonts w:ascii="宋体" w:hAnsi="宋体" w:eastAsia="宋体" w:cs="宋体"/>
      <w:sz w:val="18"/>
      <w:szCs w:val="18"/>
    </w:rPr>
  </w:style>
  <w:style w:type="paragraph" w:styleId="48">
    <w:name w:val="Quote"/>
    <w:basedOn w:val="1"/>
    <w:next w:val="1"/>
    <w:link w:val="49"/>
    <w:qFormat/>
    <w:uiPriority w:val="29"/>
    <w:pPr>
      <w:widowControl/>
      <w:jc w:val="left"/>
    </w:pPr>
    <w:rPr>
      <w:rFonts w:ascii="宋体" w:hAnsi="宋体" w:cs="宋体"/>
      <w:i/>
      <w:iCs/>
      <w:color w:val="000000"/>
      <w:kern w:val="0"/>
      <w:sz w:val="24"/>
      <w:szCs w:val="24"/>
    </w:rPr>
  </w:style>
  <w:style w:type="character" w:customStyle="1" w:styleId="49">
    <w:name w:val="引用 Char"/>
    <w:basedOn w:val="29"/>
    <w:link w:val="48"/>
    <w:uiPriority w:val="29"/>
    <w:rPr>
      <w:rFonts w:ascii="宋体" w:hAnsi="宋体" w:eastAsia="宋体" w:cs="宋体"/>
      <w:i/>
      <w:iCs/>
      <w:color w:val="000000"/>
      <w:sz w:val="24"/>
      <w:szCs w:val="24"/>
    </w:rPr>
  </w:style>
  <w:style w:type="character" w:customStyle="1" w:styleId="50">
    <w:name w:val="标题 Char"/>
    <w:basedOn w:val="29"/>
    <w:link w:val="26"/>
    <w:uiPriority w:val="0"/>
    <w:rPr>
      <w:rFonts w:ascii="Arial" w:hAnsi="Arial" w:eastAsia="宋体" w:cs="Arial"/>
      <w:b/>
      <w:bCs/>
      <w:sz w:val="32"/>
      <w:szCs w:val="32"/>
    </w:rPr>
  </w:style>
  <w:style w:type="paragraph" w:customStyle="1" w:styleId="51">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uiPriority w:val="0"/>
    <w:pPr>
      <w:ind w:left="198"/>
    </w:pPr>
    <w:rPr>
      <w:rFonts w:ascii="宋体" w:hAnsi="Times New Roman" w:eastAsia="宋体" w:cs="Times New Roman"/>
      <w:sz w:val="18"/>
      <w:lang w:val="en-US" w:eastAsia="zh-CN" w:bidi="ar-SA"/>
    </w:rPr>
  </w:style>
  <w:style w:type="paragraph" w:customStyle="1" w:styleId="54">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5">
    <w:name w:val="标准书眉一"/>
    <w:uiPriority w:val="0"/>
    <w:pPr>
      <w:jc w:val="both"/>
    </w:pPr>
    <w:rPr>
      <w:rFonts w:ascii="Times New Roman" w:hAnsi="Times New Roman" w:eastAsia="宋体" w:cs="Times New Roman"/>
      <w:lang w:val="en-US" w:eastAsia="zh-CN" w:bidi="ar-SA"/>
    </w:rPr>
  </w:style>
  <w:style w:type="paragraph" w:customStyle="1" w:styleId="56">
    <w:name w:val="标准文件_ICS"/>
    <w:basedOn w:val="1"/>
    <w:uiPriority w:val="0"/>
    <w:pPr>
      <w:widowControl/>
      <w:spacing w:line="0" w:lineRule="atLeast"/>
      <w:jc w:val="left"/>
    </w:pPr>
    <w:rPr>
      <w:rFonts w:ascii="黑体" w:hAnsi="宋体" w:eastAsia="黑体" w:cs="宋体"/>
      <w:kern w:val="0"/>
      <w:sz w:val="24"/>
      <w:szCs w:val="24"/>
    </w:rPr>
  </w:style>
  <w:style w:type="paragraph" w:customStyle="1" w:styleId="57">
    <w:name w:val="标准文件_标准正文"/>
    <w:basedOn w:val="1"/>
    <w:next w:val="58"/>
    <w:uiPriority w:val="0"/>
    <w:pPr>
      <w:widowControl/>
      <w:snapToGrid w:val="0"/>
      <w:ind w:firstLine="200" w:firstLineChars="200"/>
      <w:jc w:val="left"/>
    </w:pPr>
    <w:rPr>
      <w:rFonts w:ascii="宋体" w:hAnsi="宋体" w:cs="宋体"/>
      <w:kern w:val="0"/>
      <w:sz w:val="24"/>
      <w:szCs w:val="24"/>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uiPriority w:val="0"/>
    <w:pPr>
      <w:snapToGrid/>
      <w:ind w:firstLine="0" w:firstLineChars="0"/>
    </w:pPr>
    <w:rPr>
      <w:kern w:val="2"/>
    </w:rPr>
  </w:style>
  <w:style w:type="paragraph" w:customStyle="1" w:styleId="60">
    <w:name w:val="标准文件_标准部门"/>
    <w:basedOn w:val="1"/>
    <w:uiPriority w:val="0"/>
    <w:pPr>
      <w:widowControl/>
      <w:jc w:val="center"/>
    </w:pPr>
    <w:rPr>
      <w:rFonts w:ascii="黑体" w:hAnsi="宋体" w:eastAsia="黑体" w:cs="宋体"/>
      <w:kern w:val="0"/>
      <w:sz w:val="44"/>
      <w:szCs w:val="24"/>
    </w:rPr>
  </w:style>
  <w:style w:type="paragraph" w:customStyle="1" w:styleId="61">
    <w:name w:val="标准文件_标准代替"/>
    <w:basedOn w:val="1"/>
    <w:next w:val="1"/>
    <w:uiPriority w:val="0"/>
    <w:pPr>
      <w:widowControl/>
      <w:spacing w:line="310" w:lineRule="exact"/>
      <w:jc w:val="right"/>
    </w:pPr>
    <w:rPr>
      <w:rFonts w:ascii="宋体" w:hAnsi="宋体" w:cs="宋体"/>
      <w:kern w:val="0"/>
      <w:sz w:val="24"/>
      <w:szCs w:val="24"/>
    </w:rPr>
  </w:style>
  <w:style w:type="paragraph" w:customStyle="1" w:styleId="62">
    <w:name w:val="标准文件_标准名称标题"/>
    <w:basedOn w:val="1"/>
    <w:next w:val="1"/>
    <w:uiPriority w:val="0"/>
    <w:pPr>
      <w:widowControl/>
      <w:shd w:val="clear" w:color="FFFFFF" w:fill="FFFFFF"/>
      <w:spacing w:before="640" w:after="100"/>
      <w:jc w:val="center"/>
    </w:pPr>
    <w:rPr>
      <w:rFonts w:ascii="黑体" w:hAnsi="宋体" w:eastAsia="黑体" w:cs="宋体"/>
      <w:kern w:val="0"/>
      <w:sz w:val="32"/>
      <w:szCs w:val="24"/>
    </w:rPr>
  </w:style>
  <w:style w:type="paragraph" w:customStyle="1" w:styleId="63">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uiPriority w:val="0"/>
    <w:pPr>
      <w:jc w:val="left"/>
    </w:pPr>
  </w:style>
  <w:style w:type="paragraph" w:customStyle="1" w:styleId="65">
    <w:name w:val="标准文件_参考文献标题"/>
    <w:basedOn w:val="1"/>
    <w:next w:val="1"/>
    <w:uiPriority w:val="0"/>
    <w:pPr>
      <w:widowControl/>
      <w:shd w:val="clear" w:color="FFFFFF" w:fill="FFFFFF"/>
      <w:spacing w:before="40" w:beforeLines="40" w:after="50" w:afterLines="50"/>
      <w:jc w:val="center"/>
      <w:outlineLvl w:val="0"/>
    </w:pPr>
    <w:rPr>
      <w:rFonts w:ascii="黑体" w:hAnsi="宋体" w:eastAsia="黑体" w:cs="宋体"/>
      <w:kern w:val="0"/>
      <w:sz w:val="24"/>
      <w:szCs w:val="24"/>
    </w:rPr>
  </w:style>
  <w:style w:type="paragraph" w:customStyle="1" w:styleId="66">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uiPriority w:val="0"/>
    <w:pPr>
      <w:widowControl w:val="0"/>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uiPriority w:val="0"/>
    <w:rPr>
      <w:rFonts w:ascii="黑体" w:eastAsia="黑体"/>
      <w:spacing w:val="0"/>
      <w:w w:val="100"/>
      <w:position w:val="3"/>
      <w:sz w:val="28"/>
    </w:rPr>
  </w:style>
  <w:style w:type="paragraph" w:customStyle="1" w:styleId="69">
    <w:name w:val="标准文件_方框数字列项"/>
    <w:basedOn w:val="58"/>
    <w:uiPriority w:val="0"/>
    <w:pPr>
      <w:ind w:left="823" w:firstLine="0" w:firstLineChars="0"/>
    </w:pPr>
  </w:style>
  <w:style w:type="paragraph" w:customStyle="1" w:styleId="70">
    <w:name w:val="标准文件_封面标准编号"/>
    <w:basedOn w:val="1"/>
    <w:next w:val="61"/>
    <w:uiPriority w:val="0"/>
    <w:pPr>
      <w:widowControl/>
      <w:spacing w:line="310" w:lineRule="exact"/>
      <w:jc w:val="right"/>
    </w:pPr>
    <w:rPr>
      <w:rFonts w:ascii="黑体" w:hAnsi="宋体" w:eastAsia="黑体" w:cs="宋体"/>
      <w:kern w:val="0"/>
      <w:sz w:val="28"/>
      <w:szCs w:val="24"/>
    </w:rPr>
  </w:style>
  <w:style w:type="paragraph" w:customStyle="1" w:styleId="71">
    <w:name w:val="标准文件_封面标准分类号"/>
    <w:basedOn w:val="1"/>
    <w:uiPriority w:val="0"/>
    <w:pPr>
      <w:widowControl/>
      <w:jc w:val="left"/>
    </w:pPr>
    <w:rPr>
      <w:rFonts w:ascii="黑体" w:hAnsi="宋体" w:eastAsia="黑体" w:cs="宋体"/>
      <w:b/>
      <w:kern w:val="0"/>
      <w:sz w:val="28"/>
      <w:szCs w:val="24"/>
    </w:rPr>
  </w:style>
  <w:style w:type="paragraph" w:customStyle="1" w:styleId="72">
    <w:name w:val="标准文件_封面标准名称"/>
    <w:basedOn w:val="1"/>
    <w:uiPriority w:val="0"/>
    <w:pPr>
      <w:widowControl/>
      <w:jc w:val="center"/>
    </w:pPr>
    <w:rPr>
      <w:rFonts w:ascii="黑体" w:hAnsi="宋体" w:eastAsia="黑体" w:cs="宋体"/>
      <w:kern w:val="0"/>
      <w:sz w:val="52"/>
      <w:szCs w:val="24"/>
    </w:rPr>
  </w:style>
  <w:style w:type="paragraph" w:customStyle="1" w:styleId="73">
    <w:name w:val="标准文件_封面标准英文名称"/>
    <w:basedOn w:val="1"/>
    <w:uiPriority w:val="0"/>
    <w:pPr>
      <w:widowControl/>
      <w:jc w:val="center"/>
    </w:pPr>
    <w:rPr>
      <w:rFonts w:ascii="黑体" w:hAnsi="宋体" w:eastAsia="黑体" w:cs="宋体"/>
      <w:b/>
      <w:kern w:val="0"/>
      <w:sz w:val="28"/>
      <w:szCs w:val="24"/>
    </w:rPr>
  </w:style>
  <w:style w:type="paragraph" w:customStyle="1" w:styleId="74">
    <w:name w:val="标准文件_封面发布日期"/>
    <w:basedOn w:val="1"/>
    <w:uiPriority w:val="0"/>
    <w:pPr>
      <w:widowControl/>
      <w:spacing w:line="310" w:lineRule="exact"/>
      <w:jc w:val="left"/>
    </w:pPr>
    <w:rPr>
      <w:rFonts w:ascii="黑体" w:hAnsi="宋体" w:eastAsia="黑体" w:cs="宋体"/>
      <w:kern w:val="0"/>
      <w:sz w:val="28"/>
      <w:szCs w:val="24"/>
    </w:rPr>
  </w:style>
  <w:style w:type="paragraph" w:customStyle="1" w:styleId="75">
    <w:name w:val="标准文件_封面密级"/>
    <w:basedOn w:val="1"/>
    <w:uiPriority w:val="0"/>
    <w:pPr>
      <w:widowControl/>
      <w:jc w:val="left"/>
    </w:pPr>
    <w:rPr>
      <w:rFonts w:ascii="宋体" w:hAnsi="宋体" w:eastAsia="黑体" w:cs="宋体"/>
      <w:kern w:val="0"/>
      <w:sz w:val="32"/>
      <w:szCs w:val="24"/>
    </w:rPr>
  </w:style>
  <w:style w:type="paragraph" w:customStyle="1" w:styleId="76">
    <w:name w:val="标准文件_封面实施日期"/>
    <w:basedOn w:val="1"/>
    <w:uiPriority w:val="0"/>
    <w:pPr>
      <w:widowControl/>
      <w:spacing w:line="310" w:lineRule="exact"/>
      <w:jc w:val="right"/>
    </w:pPr>
    <w:rPr>
      <w:rFonts w:ascii="黑体" w:hAnsi="宋体" w:eastAsia="黑体" w:cs="宋体"/>
      <w:kern w:val="0"/>
      <w:sz w:val="28"/>
      <w:szCs w:val="24"/>
    </w:rPr>
  </w:style>
  <w:style w:type="paragraph" w:customStyle="1" w:styleId="77">
    <w:name w:val="标准文件_封面抬头"/>
    <w:basedOn w:val="58"/>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uiPriority w:val="0"/>
    <w:pPr>
      <w:numPr>
        <w:ilvl w:val="0"/>
        <w:numId w:val="2"/>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uiPriority w:val="0"/>
    <w:pPr>
      <w:numPr>
        <w:ilvl w:val="1"/>
        <w:numId w:val="3"/>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uiPriority w:val="0"/>
    <w:pPr>
      <w:widowControl w:val="0"/>
      <w:numPr>
        <w:ilvl w:val="1"/>
        <w:numId w:val="2"/>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uiPriority w:val="0"/>
    <w:pPr>
      <w:tabs>
        <w:tab w:val="center" w:pos="4678"/>
        <w:tab w:val="right" w:leader="middleDot" w:pos="9356"/>
      </w:tabs>
      <w:ind w:right="-51" w:firstLine="0" w:firstLineChars="0"/>
    </w:pPr>
  </w:style>
  <w:style w:type="paragraph" w:customStyle="1" w:styleId="83">
    <w:name w:val="标准文件_附录三级条标题"/>
    <w:next w:val="58"/>
    <w:uiPriority w:val="0"/>
    <w:pPr>
      <w:widowControl w:val="0"/>
      <w:numPr>
        <w:ilvl w:val="3"/>
        <w:numId w:val="2"/>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uiPriority w:val="0"/>
    <w:pPr>
      <w:widowControl w:val="0"/>
      <w:numPr>
        <w:ilvl w:val="4"/>
        <w:numId w:val="2"/>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uiPriority w:val="0"/>
    <w:pPr>
      <w:numPr>
        <w:ilvl w:val="1"/>
        <w:numId w:val="4"/>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uiPriority w:val="0"/>
    <w:pPr>
      <w:widowControl w:val="0"/>
      <w:numPr>
        <w:ilvl w:val="5"/>
        <w:numId w:val="2"/>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uiPriority w:val="0"/>
    <w:pPr>
      <w:numPr>
        <w:ilvl w:val="0"/>
        <w:numId w:val="5"/>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basedOn w:val="29"/>
    <w:link w:val="14"/>
    <w:uiPriority w:val="0"/>
    <w:rPr>
      <w:rFonts w:ascii="宋体" w:hAnsi="宋体" w:eastAsia="宋体" w:cs="宋体"/>
      <w:sz w:val="24"/>
      <w:szCs w:val="24"/>
    </w:rPr>
  </w:style>
  <w:style w:type="paragraph" w:customStyle="1" w:styleId="89">
    <w:name w:val="标准文件_附录章标题"/>
    <w:next w:val="58"/>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uiPriority w:val="0"/>
    <w:pPr>
      <w:ind w:left="488" w:leftChars="200" w:hanging="289" w:hangingChars="290"/>
    </w:pPr>
  </w:style>
  <w:style w:type="paragraph" w:customStyle="1" w:styleId="91">
    <w:name w:val="标准文件_前言、引言标题"/>
    <w:next w:val="1"/>
    <w:uiPriority w:val="0"/>
    <w:pPr>
      <w:shd w:val="clear" w:color="FFFFFF" w:fill="FFFFFF"/>
      <w:spacing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uiPriority w:val="0"/>
    <w:pPr>
      <w:spacing w:line="460" w:lineRule="exact"/>
    </w:pPr>
  </w:style>
  <w:style w:type="paragraph" w:customStyle="1" w:styleId="93">
    <w:name w:val="标准文件_目录标题"/>
    <w:basedOn w:val="1"/>
    <w:uiPriority w:val="0"/>
    <w:pPr>
      <w:widowControl/>
      <w:spacing w:after="150" w:afterLines="150"/>
      <w:jc w:val="center"/>
    </w:pPr>
    <w:rPr>
      <w:rFonts w:ascii="黑体" w:hAnsi="宋体" w:eastAsia="黑体" w:cs="宋体"/>
      <w:kern w:val="0"/>
      <w:sz w:val="32"/>
      <w:szCs w:val="24"/>
    </w:rPr>
  </w:style>
  <w:style w:type="paragraph" w:customStyle="1" w:styleId="94">
    <w:name w:val="标准文件_破折号列项"/>
    <w:uiPriority w:val="0"/>
    <w:pPr>
      <w:numPr>
        <w:ilvl w:val="0"/>
        <w:numId w:val="6"/>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uiPriority w:val="0"/>
    <w:pPr>
      <w:numPr>
        <w:numId w:val="7"/>
      </w:numPr>
      <w:ind w:left="0" w:firstLine="200"/>
    </w:pPr>
  </w:style>
  <w:style w:type="paragraph" w:customStyle="1" w:styleId="96">
    <w:name w:val="标准文件_三级条标题"/>
    <w:basedOn w:val="67"/>
    <w:next w:val="58"/>
    <w:uiPriority w:val="0"/>
    <w:pPr>
      <w:widowControl/>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uiPriority w:val="0"/>
    <w:pPr>
      <w:widowControl/>
      <w:ind w:firstLine="200" w:firstLineChars="200"/>
      <w:jc w:val="left"/>
    </w:pPr>
    <w:rPr>
      <w:rFonts w:ascii="宋体" w:hAnsi="宋体" w:cs="宋体"/>
      <w:kern w:val="0"/>
      <w:sz w:val="18"/>
      <w:szCs w:val="24"/>
    </w:rPr>
  </w:style>
  <w:style w:type="paragraph" w:customStyle="1" w:styleId="99">
    <w:name w:val="标准文件_数字编号列项"/>
    <w:uiPriority w:val="0"/>
    <w:pPr>
      <w:numPr>
        <w:ilvl w:val="0"/>
        <w:numId w:val="8"/>
      </w:numPr>
      <w:jc w:val="both"/>
    </w:pPr>
    <w:rPr>
      <w:rFonts w:ascii="宋体" w:hAnsi="宋体" w:eastAsia="宋体" w:cs="Times New Roman"/>
      <w:sz w:val="21"/>
      <w:lang w:val="en-US" w:eastAsia="zh-CN" w:bidi="ar-SA"/>
    </w:rPr>
  </w:style>
  <w:style w:type="paragraph" w:customStyle="1" w:styleId="100">
    <w:name w:val="标准文件_四级条标题"/>
    <w:next w:val="58"/>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basedOn w:val="29"/>
    <w:link w:val="22"/>
    <w:semiHidden/>
    <w:uiPriority w:val="0"/>
    <w:rPr>
      <w:rFonts w:ascii="宋体" w:hAnsi="宋体" w:eastAsia="宋体" w:cs="宋体"/>
      <w:sz w:val="18"/>
      <w:szCs w:val="18"/>
    </w:rPr>
  </w:style>
  <w:style w:type="paragraph" w:customStyle="1" w:styleId="102">
    <w:name w:val="标准文件_条文脚注"/>
    <w:basedOn w:val="22"/>
    <w:uiPriority w:val="0"/>
    <w:pPr>
      <w:adjustRightInd w:val="0"/>
      <w:spacing w:line="240" w:lineRule="auto"/>
      <w:ind w:left="0" w:leftChars="0" w:firstLine="200" w:firstLineChars="200"/>
      <w:jc w:val="both"/>
    </w:pPr>
  </w:style>
  <w:style w:type="paragraph" w:customStyle="1" w:styleId="103">
    <w:name w:val="标准文件_图表脚注"/>
    <w:basedOn w:val="1"/>
    <w:next w:val="58"/>
    <w:uiPriority w:val="0"/>
    <w:pPr>
      <w:widowControl/>
      <w:numPr>
        <w:ilvl w:val="0"/>
        <w:numId w:val="9"/>
      </w:numPr>
      <w:jc w:val="left"/>
    </w:pPr>
    <w:rPr>
      <w:rFonts w:ascii="宋体" w:hAnsi="宋体" w:cs="宋体"/>
      <w:kern w:val="0"/>
      <w:sz w:val="18"/>
      <w:szCs w:val="24"/>
    </w:rPr>
  </w:style>
  <w:style w:type="character" w:customStyle="1" w:styleId="104">
    <w:name w:val="标准文件_图表脚注内容"/>
    <w:uiPriority w:val="0"/>
    <w:rPr>
      <w:rFonts w:ascii="宋体" w:hAnsi="宋体" w:eastAsia="宋体" w:cs="Times New Roman"/>
      <w:spacing w:val="0"/>
      <w:sz w:val="18"/>
      <w:vertAlign w:val="superscript"/>
    </w:rPr>
  </w:style>
  <w:style w:type="paragraph" w:customStyle="1" w:styleId="105">
    <w:name w:val="标准文件_五级条标题"/>
    <w:next w:val="58"/>
    <w:uiPriority w:val="0"/>
    <w:pPr>
      <w:widowControl w:val="0"/>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uiPriority w:val="0"/>
    <w:pPr>
      <w:spacing w:before="50" w:beforeLines="50" w:after="50" w:afterLines="50"/>
      <w:outlineLvl w:val="1"/>
    </w:pPr>
  </w:style>
  <w:style w:type="paragraph" w:customStyle="1" w:styleId="108">
    <w:name w:val="标准文件_一致程度"/>
    <w:basedOn w:val="1"/>
    <w:uiPriority w:val="0"/>
    <w:pPr>
      <w:widowControl/>
      <w:spacing w:line="440" w:lineRule="exact"/>
      <w:jc w:val="center"/>
    </w:pPr>
    <w:rPr>
      <w:rFonts w:ascii="宋体" w:hAnsi="宋体" w:cs="宋体"/>
      <w:kern w:val="0"/>
      <w:sz w:val="28"/>
      <w:szCs w:val="24"/>
    </w:rPr>
  </w:style>
  <w:style w:type="paragraph" w:customStyle="1" w:styleId="109">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uiPriority w:val="0"/>
    <w:pPr>
      <w:snapToGrid/>
      <w:ind w:left="79" w:hanging="79" w:hangingChars="80"/>
    </w:pPr>
  </w:style>
  <w:style w:type="paragraph" w:customStyle="1" w:styleId="111">
    <w:name w:val="标准文件_数字编号列项（二级）"/>
    <w:uiPriority w:val="0"/>
    <w:pPr>
      <w:numPr>
        <w:ilvl w:val="1"/>
        <w:numId w:val="10"/>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uiPriority w:val="0"/>
    <w:pPr>
      <w:widowControl/>
      <w:numPr>
        <w:ilvl w:val="0"/>
        <w:numId w:val="11"/>
      </w:numPr>
      <w:tabs>
        <w:tab w:val="left" w:pos="420"/>
      </w:tabs>
      <w:autoSpaceDE w:val="0"/>
      <w:autoSpaceDN w:val="0"/>
      <w:jc w:val="left"/>
    </w:pPr>
    <w:rPr>
      <w:rFonts w:ascii="宋体" w:hAnsi="宋体" w:cs="宋体"/>
      <w:kern w:val="0"/>
      <w:sz w:val="18"/>
      <w:szCs w:val="20"/>
    </w:rPr>
  </w:style>
  <w:style w:type="paragraph" w:customStyle="1" w:styleId="113">
    <w:name w:val="标准文件_英文注×："/>
    <w:basedOn w:val="1"/>
    <w:uiPriority w:val="0"/>
    <w:pPr>
      <w:widowControl/>
      <w:numPr>
        <w:ilvl w:val="0"/>
        <w:numId w:val="12"/>
      </w:numPr>
      <w:tabs>
        <w:tab w:val="left" w:pos="210"/>
      </w:tabs>
      <w:autoSpaceDE w:val="0"/>
      <w:autoSpaceDN w:val="0"/>
      <w:jc w:val="left"/>
    </w:pPr>
    <w:rPr>
      <w:rFonts w:ascii="宋体" w:hAnsi="宋体" w:cs="宋体"/>
      <w:kern w:val="0"/>
      <w:sz w:val="24"/>
      <w:szCs w:val="20"/>
    </w:rPr>
  </w:style>
  <w:style w:type="paragraph" w:customStyle="1" w:styleId="114">
    <w:name w:val="标准文件_正文表标题"/>
    <w:next w:val="58"/>
    <w:uiPriority w:val="0"/>
    <w:pPr>
      <w:numPr>
        <w:ilvl w:val="0"/>
        <w:numId w:val="13"/>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uiPriority w:val="0"/>
    <w:pPr>
      <w:widowControl/>
      <w:tabs>
        <w:tab w:val="center" w:pos="4678"/>
        <w:tab w:val="right" w:leader="middleDot" w:pos="9356"/>
      </w:tabs>
      <w:jc w:val="left"/>
    </w:pPr>
    <w:rPr>
      <w:rFonts w:ascii="宋体" w:hAnsi="宋体" w:cs="宋体"/>
      <w:kern w:val="0"/>
      <w:sz w:val="24"/>
      <w:szCs w:val="24"/>
    </w:rPr>
  </w:style>
  <w:style w:type="paragraph" w:customStyle="1" w:styleId="116">
    <w:name w:val="标准文件_正文图标题"/>
    <w:next w:val="58"/>
    <w:uiPriority w:val="0"/>
    <w:pPr>
      <w:numPr>
        <w:ilvl w:val="0"/>
        <w:numId w:val="14"/>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uiPriority w:val="0"/>
    <w:pPr>
      <w:numPr>
        <w:ilvl w:val="0"/>
        <w:numId w:val="15"/>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uiPriority w:val="0"/>
    <w:pPr>
      <w:numPr>
        <w:ilvl w:val="0"/>
        <w:numId w:val="16"/>
      </w:numPr>
      <w:jc w:val="center"/>
    </w:pPr>
    <w:rPr>
      <w:rFonts w:ascii="黑体" w:hAnsi="Times New Roman" w:eastAsia="黑体" w:cs="Times New Roman"/>
      <w:sz w:val="21"/>
      <w:lang w:val="en-US" w:eastAsia="zh-CN" w:bidi="ar-SA"/>
    </w:rPr>
  </w:style>
  <w:style w:type="paragraph" w:customStyle="1" w:styleId="119">
    <w:name w:val="标准文件_编号列项（三级）"/>
    <w:uiPriority w:val="0"/>
    <w:pPr>
      <w:numPr>
        <w:ilvl w:val="2"/>
        <w:numId w:val="10"/>
      </w:numPr>
    </w:pPr>
    <w:rPr>
      <w:rFonts w:ascii="宋体" w:hAnsi="Times New Roman" w:eastAsia="宋体" w:cs="Times New Roman"/>
      <w:sz w:val="21"/>
      <w:lang w:val="en-US" w:eastAsia="zh-CN" w:bidi="ar-SA"/>
    </w:rPr>
  </w:style>
  <w:style w:type="paragraph" w:customStyle="1" w:styleId="120">
    <w:name w:val="二级无标题条"/>
    <w:basedOn w:val="1"/>
    <w:uiPriority w:val="0"/>
    <w:pPr>
      <w:widowControl/>
      <w:numPr>
        <w:ilvl w:val="3"/>
        <w:numId w:val="17"/>
      </w:numPr>
      <w:jc w:val="left"/>
    </w:pPr>
    <w:rPr>
      <w:rFonts w:ascii="宋体" w:hAnsi="宋体" w:cs="宋体"/>
      <w:kern w:val="0"/>
      <w:sz w:val="24"/>
      <w:szCs w:val="24"/>
    </w:rPr>
  </w:style>
  <w:style w:type="paragraph" w:customStyle="1" w:styleId="121">
    <w:name w:val="发布部门"/>
    <w:next w:val="58"/>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uiPriority w:val="0"/>
    <w:pPr>
      <w:framePr w:w="9138" w:h="1244" w:hRule="exact" w:wrap="auto" w:vAnchor="page" w:hAnchor="margin" w:y="2908"/>
      <w:widowControl/>
      <w:kinsoku w:val="0"/>
      <w:overflowPunct w:val="0"/>
      <w:autoSpaceDE w:val="0"/>
      <w:autoSpaceDN w:val="0"/>
      <w:spacing w:before="57" w:line="280" w:lineRule="exact"/>
      <w:jc w:val="right"/>
      <w:textAlignment w:val="center"/>
    </w:pPr>
    <w:rPr>
      <w:rFonts w:ascii="宋体" w:hAnsi="Times New Roman" w:cs="宋体"/>
      <w:kern w:val="0"/>
      <w:sz w:val="24"/>
      <w:szCs w:val="20"/>
    </w:rPr>
  </w:style>
  <w:style w:type="paragraph" w:customStyle="1" w:styleId="124">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uiPriority w:val="0"/>
    <w:pPr>
      <w:widowControl/>
      <w:wordWrap w:val="0"/>
      <w:overflowPunct w:val="0"/>
      <w:autoSpaceDE w:val="0"/>
      <w:autoSpaceDN w:val="0"/>
      <w:jc w:val="left"/>
      <w:textAlignment w:val="baseline"/>
      <w:outlineLvl w:val="3"/>
    </w:pPr>
    <w:rPr>
      <w:rFonts w:ascii="宋体" w:hAnsi="宋体" w:cs="宋体"/>
      <w:kern w:val="21"/>
      <w:sz w:val="24"/>
      <w:szCs w:val="24"/>
    </w:rPr>
  </w:style>
  <w:style w:type="paragraph" w:customStyle="1" w:styleId="131">
    <w:name w:val="附录三级无标题条"/>
    <w:basedOn w:val="130"/>
    <w:next w:val="58"/>
    <w:uiPriority w:val="0"/>
    <w:pPr>
      <w:outlineLvl w:val="4"/>
    </w:pPr>
  </w:style>
  <w:style w:type="paragraph" w:customStyle="1" w:styleId="132">
    <w:name w:val="附录四级无标题条"/>
    <w:basedOn w:val="131"/>
    <w:next w:val="58"/>
    <w:uiPriority w:val="0"/>
    <w:pPr>
      <w:outlineLvl w:val="5"/>
    </w:pPr>
  </w:style>
  <w:style w:type="paragraph" w:customStyle="1" w:styleId="133">
    <w:name w:val="附录图"/>
    <w:next w:val="58"/>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uiPriority w:val="0"/>
    <w:pPr>
      <w:numPr>
        <w:ilvl w:val="0"/>
        <w:numId w:val="18"/>
      </w:numPr>
    </w:pPr>
    <w:rPr>
      <w:rFonts w:ascii="宋体" w:hAnsi="Times New Roman" w:eastAsia="宋体" w:cs="Times New Roman"/>
      <w:sz w:val="21"/>
      <w:lang w:val="en-US" w:eastAsia="zh-CN" w:bidi="ar-SA"/>
    </w:rPr>
  </w:style>
  <w:style w:type="paragraph" w:customStyle="1" w:styleId="135">
    <w:name w:val="附录五级无标题条"/>
    <w:basedOn w:val="132"/>
    <w:next w:val="58"/>
    <w:uiPriority w:val="0"/>
    <w:pPr>
      <w:outlineLvl w:val="6"/>
    </w:pPr>
  </w:style>
  <w:style w:type="paragraph" w:customStyle="1" w:styleId="136">
    <w:name w:val="附录性质"/>
    <w:basedOn w:val="1"/>
    <w:uiPriority w:val="0"/>
    <w:pPr>
      <w:widowControl/>
      <w:jc w:val="center"/>
    </w:pPr>
    <w:rPr>
      <w:rFonts w:ascii="黑体" w:hAnsi="宋体" w:eastAsia="黑体" w:cs="宋体"/>
      <w:kern w:val="0"/>
      <w:sz w:val="24"/>
      <w:szCs w:val="24"/>
    </w:rPr>
  </w:style>
  <w:style w:type="paragraph" w:customStyle="1" w:styleId="137">
    <w:name w:val="附录一级无标题条"/>
    <w:basedOn w:val="89"/>
    <w:next w:val="58"/>
    <w:uiPriority w:val="0"/>
    <w:pPr>
      <w:autoSpaceDN w:val="0"/>
      <w:outlineLvl w:val="2"/>
    </w:pPr>
    <w:rPr>
      <w:rFonts w:ascii="宋体" w:hAnsi="宋体" w:eastAsia="宋体"/>
    </w:rPr>
  </w:style>
  <w:style w:type="character" w:customStyle="1" w:styleId="138">
    <w:name w:val="个人答复风格"/>
    <w:uiPriority w:val="0"/>
    <w:rPr>
      <w:rFonts w:ascii="Arial" w:hAnsi="Arial" w:eastAsia="宋体" w:cs="Arial"/>
      <w:color w:val="auto"/>
      <w:spacing w:val="0"/>
      <w:sz w:val="20"/>
    </w:rPr>
  </w:style>
  <w:style w:type="character" w:customStyle="1" w:styleId="139">
    <w:name w:val="个人撰写风格"/>
    <w:uiPriority w:val="0"/>
    <w:rPr>
      <w:rFonts w:ascii="Arial" w:hAnsi="Arial" w:eastAsia="宋体" w:cs="Arial"/>
      <w:color w:val="auto"/>
      <w:spacing w:val="0"/>
      <w:sz w:val="20"/>
    </w:rPr>
  </w:style>
  <w:style w:type="paragraph" w:customStyle="1" w:styleId="140">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uiPriority w:val="0"/>
    <w:pPr>
      <w:widowControl w:val="0"/>
      <w:numPr>
        <w:ilvl w:val="0"/>
        <w:numId w:val="19"/>
      </w:numPr>
      <w:jc w:val="both"/>
    </w:pPr>
    <w:rPr>
      <w:rFonts w:ascii="宋体" w:hAnsi="宋体" w:eastAsia="宋体" w:cs="Times New Roman"/>
      <w:sz w:val="21"/>
      <w:lang w:val="en-US" w:eastAsia="zh-CN" w:bidi="ar-SA"/>
    </w:rPr>
  </w:style>
  <w:style w:type="paragraph" w:customStyle="1" w:styleId="142">
    <w:name w:val="列项·"/>
    <w:basedOn w:val="58"/>
    <w:uiPriority w:val="0"/>
    <w:pPr>
      <w:tabs>
        <w:tab w:val="left" w:pos="840"/>
      </w:tabs>
    </w:pPr>
  </w:style>
  <w:style w:type="paragraph" w:customStyle="1" w:styleId="143">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uiPriority w:val="0"/>
    <w:pPr>
      <w:widowControl/>
      <w:jc w:val="left"/>
    </w:pPr>
    <w:rPr>
      <w:rFonts w:ascii="宋体" w:hAnsi="宋体" w:cs="宋体"/>
      <w:bCs/>
      <w:iCs/>
      <w:kern w:val="0"/>
      <w:sz w:val="24"/>
      <w:szCs w:val="24"/>
    </w:rPr>
  </w:style>
  <w:style w:type="paragraph" w:customStyle="1" w:styleId="145">
    <w:name w:val="目录 31"/>
    <w:basedOn w:val="1"/>
    <w:next w:val="1"/>
    <w:autoRedefine/>
    <w:semiHidden/>
    <w:uiPriority w:val="0"/>
    <w:pPr>
      <w:widowControl/>
      <w:jc w:val="left"/>
    </w:pPr>
    <w:rPr>
      <w:rFonts w:ascii="宋体" w:hAnsi="宋体" w:cs="宋体"/>
      <w:iCs/>
      <w:kern w:val="0"/>
      <w:sz w:val="24"/>
      <w:szCs w:val="24"/>
    </w:rPr>
  </w:style>
  <w:style w:type="paragraph" w:customStyle="1" w:styleId="146">
    <w:name w:val="目录 41"/>
    <w:basedOn w:val="1"/>
    <w:next w:val="1"/>
    <w:autoRedefine/>
    <w:semiHidden/>
    <w:uiPriority w:val="0"/>
    <w:pPr>
      <w:widowControl/>
      <w:jc w:val="left"/>
    </w:pPr>
    <w:rPr>
      <w:rFonts w:ascii="宋体" w:hAnsi="宋体" w:cs="宋体"/>
      <w:kern w:val="0"/>
      <w:sz w:val="24"/>
      <w:szCs w:val="24"/>
    </w:rPr>
  </w:style>
  <w:style w:type="paragraph" w:customStyle="1" w:styleId="147">
    <w:name w:val="目录 51"/>
    <w:basedOn w:val="1"/>
    <w:next w:val="1"/>
    <w:autoRedefine/>
    <w:semiHidden/>
    <w:qFormat/>
    <w:uiPriority w:val="0"/>
    <w:pPr>
      <w:widowControl/>
      <w:jc w:val="left"/>
    </w:pPr>
    <w:rPr>
      <w:rFonts w:ascii="宋体" w:hAnsi="宋体" w:cs="宋体"/>
      <w:kern w:val="0"/>
      <w:sz w:val="24"/>
      <w:szCs w:val="24"/>
    </w:rPr>
  </w:style>
  <w:style w:type="paragraph" w:customStyle="1" w:styleId="148">
    <w:name w:val="目录 61"/>
    <w:basedOn w:val="1"/>
    <w:next w:val="1"/>
    <w:autoRedefine/>
    <w:semiHidden/>
    <w:uiPriority w:val="0"/>
    <w:pPr>
      <w:widowControl/>
      <w:jc w:val="left"/>
    </w:pPr>
    <w:rPr>
      <w:rFonts w:ascii="宋体" w:hAnsi="宋体" w:cs="宋体"/>
      <w:kern w:val="0"/>
      <w:sz w:val="24"/>
      <w:szCs w:val="24"/>
    </w:rPr>
  </w:style>
  <w:style w:type="paragraph" w:customStyle="1" w:styleId="149">
    <w:name w:val="目录 71"/>
    <w:basedOn w:val="148"/>
    <w:autoRedefine/>
    <w:semiHidden/>
    <w:uiPriority w:val="0"/>
    <w:pPr>
      <w:ind w:left="1260"/>
    </w:pPr>
  </w:style>
  <w:style w:type="paragraph" w:customStyle="1" w:styleId="150">
    <w:name w:val="目录 81"/>
    <w:basedOn w:val="149"/>
    <w:autoRedefine/>
    <w:semiHidden/>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uiPriority w:val="0"/>
    <w:pPr>
      <w:framePr w:wrap="around"/>
      <w:spacing w:line="0" w:lineRule="atLeast"/>
    </w:pPr>
    <w:rPr>
      <w:rFonts w:ascii="黑体" w:eastAsia="黑体"/>
      <w:b w:val="0"/>
    </w:rPr>
  </w:style>
  <w:style w:type="paragraph" w:customStyle="1" w:styleId="154">
    <w:name w:val="前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uiPriority w:val="0"/>
    <w:pPr>
      <w:widowControl/>
      <w:numPr>
        <w:ilvl w:val="4"/>
        <w:numId w:val="17"/>
      </w:numPr>
      <w:jc w:val="left"/>
    </w:pPr>
    <w:rPr>
      <w:rFonts w:ascii="宋体" w:hAnsi="宋体" w:cs="宋体"/>
      <w:kern w:val="0"/>
      <w:sz w:val="24"/>
      <w:szCs w:val="24"/>
    </w:rPr>
  </w:style>
  <w:style w:type="paragraph" w:customStyle="1" w:styleId="156">
    <w:name w:val="实施日期"/>
    <w:basedOn w:val="122"/>
    <w:uiPriority w:val="0"/>
    <w:pPr>
      <w:framePr w:hSpace="0" w:wrap="around" w:xAlign="right"/>
      <w:jc w:val="right"/>
    </w:pPr>
  </w:style>
  <w:style w:type="paragraph" w:customStyle="1" w:styleId="157">
    <w:name w:val="四级无标题条"/>
    <w:basedOn w:val="1"/>
    <w:uiPriority w:val="0"/>
    <w:pPr>
      <w:widowControl/>
      <w:numPr>
        <w:ilvl w:val="5"/>
        <w:numId w:val="17"/>
      </w:numPr>
      <w:jc w:val="left"/>
    </w:pPr>
    <w:rPr>
      <w:rFonts w:ascii="宋体" w:hAnsi="宋体" w:cs="宋体"/>
      <w:kern w:val="0"/>
      <w:sz w:val="24"/>
      <w:szCs w:val="24"/>
    </w:rPr>
  </w:style>
  <w:style w:type="paragraph" w:customStyle="1" w:styleId="158">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uiPriority w:val="0"/>
    <w:pPr>
      <w:jc w:val="both"/>
    </w:pPr>
    <w:rPr>
      <w:rFonts w:ascii="宋体" w:hAnsi="宋体" w:eastAsia="宋体" w:cs="Times New Roman"/>
      <w:sz w:val="21"/>
      <w:lang w:val="en-US" w:eastAsia="zh-CN" w:bidi="ar-SA"/>
    </w:rPr>
  </w:style>
  <w:style w:type="paragraph" w:customStyle="1" w:styleId="160">
    <w:name w:val="五级无标题条"/>
    <w:basedOn w:val="1"/>
    <w:uiPriority w:val="0"/>
    <w:pPr>
      <w:widowControl/>
      <w:numPr>
        <w:ilvl w:val="6"/>
        <w:numId w:val="17"/>
      </w:numPr>
      <w:jc w:val="left"/>
    </w:pPr>
    <w:rPr>
      <w:rFonts w:ascii="宋体" w:hAnsi="宋体" w:cs="宋体"/>
      <w:kern w:val="0"/>
      <w:sz w:val="24"/>
      <w:szCs w:val="24"/>
    </w:rPr>
  </w:style>
  <w:style w:type="paragraph" w:customStyle="1" w:styleId="161">
    <w:name w:val="一级无标题条"/>
    <w:basedOn w:val="1"/>
    <w:uiPriority w:val="0"/>
    <w:pPr>
      <w:widowControl/>
      <w:numPr>
        <w:ilvl w:val="2"/>
        <w:numId w:val="17"/>
      </w:numPr>
      <w:spacing w:before="10" w:after="10"/>
      <w:jc w:val="left"/>
    </w:pPr>
    <w:rPr>
      <w:rFonts w:ascii="宋体" w:hAnsi="宋体" w:cs="宋体"/>
      <w:kern w:val="0"/>
      <w:sz w:val="24"/>
      <w:szCs w:val="24"/>
    </w:rPr>
  </w:style>
  <w:style w:type="paragraph" w:customStyle="1" w:styleId="162">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uiPriority w:val="0"/>
    <w:pPr>
      <w:numPr>
        <w:ilvl w:val="0"/>
        <w:numId w:val="20"/>
      </w:numPr>
      <w:ind w:firstLine="0" w:firstLineChars="0"/>
    </w:pPr>
    <w:rPr>
      <w:rFonts w:ascii="Times New Roman" w:cs="Arial"/>
      <w:szCs w:val="28"/>
    </w:rPr>
  </w:style>
  <w:style w:type="paragraph" w:customStyle="1" w:styleId="171">
    <w:name w:val="标准文件_小写罗马数字编号列项"/>
    <w:basedOn w:val="58"/>
    <w:uiPriority w:val="0"/>
    <w:pPr>
      <w:numPr>
        <w:ilvl w:val="0"/>
        <w:numId w:val="21"/>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uiPriority w:val="0"/>
    <w:rPr>
      <w:rFonts w:ascii="宋体" w:hAnsi="Times New Roman" w:eastAsia="宋体" w:cs="Times New Roman"/>
      <w:sz w:val="21"/>
      <w:lang w:val="en-US" w:eastAsia="zh-CN" w:bidi="ar-SA"/>
    </w:rPr>
  </w:style>
  <w:style w:type="paragraph" w:customStyle="1" w:styleId="174">
    <w:name w:val="标准文件_三级项"/>
    <w:basedOn w:val="1"/>
    <w:uiPriority w:val="0"/>
    <w:pPr>
      <w:widowControl/>
      <w:numPr>
        <w:ilvl w:val="2"/>
        <w:numId w:val="18"/>
      </w:numPr>
      <w:spacing w:line="536870612" w:lineRule="auto"/>
      <w:jc w:val="left"/>
    </w:pPr>
    <w:rPr>
      <w:rFonts w:ascii="Times New Roman" w:hAnsi="Times New Roman" w:cs="宋体"/>
      <w:kern w:val="0"/>
      <w:sz w:val="24"/>
      <w:szCs w:val="24"/>
    </w:rPr>
  </w:style>
  <w:style w:type="paragraph" w:customStyle="1" w:styleId="175">
    <w:name w:val="图表脚注说明"/>
    <w:basedOn w:val="1"/>
    <w:next w:val="58"/>
    <w:uiPriority w:val="0"/>
    <w:pPr>
      <w:widowControl/>
      <w:numPr>
        <w:ilvl w:val="0"/>
        <w:numId w:val="22"/>
      </w:numPr>
      <w:ind w:left="783"/>
      <w:jc w:val="left"/>
    </w:pPr>
    <w:rPr>
      <w:rFonts w:ascii="宋体" w:hAnsi="Times New Roman" w:cs="宋体"/>
      <w:kern w:val="0"/>
      <w:sz w:val="18"/>
      <w:szCs w:val="18"/>
    </w:rPr>
  </w:style>
  <w:style w:type="paragraph" w:customStyle="1" w:styleId="176">
    <w:name w:val="标准文件_字母编号列项（一级）"/>
    <w:uiPriority w:val="0"/>
    <w:pPr>
      <w:numPr>
        <w:ilvl w:val="0"/>
        <w:numId w:val="10"/>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uiPriority w:val="0"/>
    <w:pPr>
      <w:widowControl w:val="0"/>
      <w:numPr>
        <w:ilvl w:val="0"/>
        <w:numId w:val="23"/>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uiPriority w:val="0"/>
    <w:pPr>
      <w:widowControl w:val="0"/>
      <w:numPr>
        <w:ilvl w:val="0"/>
        <w:numId w:val="24"/>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uiPriority w:val="0"/>
    <w:pPr>
      <w:widowControl w:val="0"/>
      <w:numPr>
        <w:ilvl w:val="0"/>
        <w:numId w:val="25"/>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6"/>
      </w:numPr>
      <w:jc w:val="left"/>
    </w:pPr>
    <w:rPr>
      <w:rFonts w:ascii="宋体" w:hAnsi="Times New Roman" w:cs="宋体"/>
      <w:kern w:val="0"/>
      <w:sz w:val="18"/>
      <w:szCs w:val="18"/>
    </w:rPr>
  </w:style>
  <w:style w:type="character" w:customStyle="1" w:styleId="186">
    <w:name w:val="标准文件_段 Char"/>
    <w:link w:val="58"/>
    <w:qFormat/>
    <w:uiPriority w:val="0"/>
    <w:rPr>
      <w:rFonts w:ascii="宋体" w:hAnsi="Times New Roman" w:eastAsia="宋体" w:cs="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uiPriority w:val="99"/>
    <w:rPr>
      <w:color w:val="808080"/>
    </w:rPr>
  </w:style>
  <w:style w:type="paragraph" w:customStyle="1" w:styleId="189">
    <w:name w:val="标准文件_二级项2"/>
    <w:basedOn w:val="58"/>
    <w:qFormat/>
    <w:uiPriority w:val="0"/>
    <w:pPr>
      <w:numPr>
        <w:ilvl w:val="1"/>
        <w:numId w:val="18"/>
      </w:numPr>
      <w:ind w:left="1271" w:hanging="420" w:firstLineChars="0"/>
    </w:pPr>
  </w:style>
  <w:style w:type="paragraph" w:customStyle="1" w:styleId="190">
    <w:name w:val="标准文件_三级项2"/>
    <w:basedOn w:val="58"/>
    <w:qFormat/>
    <w:uiPriority w:val="0"/>
    <w:pPr>
      <w:numPr>
        <w:ilvl w:val="0"/>
        <w:numId w:val="27"/>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28"/>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uiPriority w:val="0"/>
    <w:pPr>
      <w:framePr w:w="3997" w:h="471" w:hRule="exact" w:hSpace="0" w:vSpace="181" w:wrap="around" w:vAnchor="page" w:hAnchor="page" w:x="1419" w:y="14097"/>
    </w:pPr>
  </w:style>
  <w:style w:type="paragraph" w:customStyle="1" w:styleId="196">
    <w:name w:val="其他实施日期"/>
    <w:basedOn w:val="156"/>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4"/>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3"/>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spacing w:before="50" w:beforeLines="50" w:after="50" w:afterLines="50"/>
      <w:ind w:firstLine="0" w:firstLineChars="0"/>
    </w:pPr>
    <w:rPr>
      <w:rFonts w:ascii="黑体" w:eastAsia="黑体"/>
    </w:rPr>
  </w:style>
  <w:style w:type="paragraph" w:customStyle="1" w:styleId="203">
    <w:name w:val="标准文件_引言二级条标题"/>
    <w:basedOn w:val="58"/>
    <w:next w:val="58"/>
    <w:qFormat/>
    <w:uiPriority w:val="0"/>
    <w:pPr>
      <w:spacing w:before="50" w:beforeLines="50" w:after="50" w:afterLines="50"/>
      <w:ind w:firstLine="0" w:firstLineChars="0"/>
    </w:pPr>
    <w:rPr>
      <w:rFonts w:ascii="黑体" w:eastAsia="黑体"/>
    </w:rPr>
  </w:style>
  <w:style w:type="paragraph" w:customStyle="1" w:styleId="204">
    <w:name w:val="标准文件_引言三级条标题"/>
    <w:basedOn w:val="58"/>
    <w:next w:val="58"/>
    <w:qFormat/>
    <w:uiPriority w:val="0"/>
    <w:pPr>
      <w:spacing w:before="50" w:beforeLines="50" w:after="50" w:afterLines="50"/>
      <w:ind w:firstLine="0" w:firstLineChars="0"/>
    </w:pPr>
    <w:rPr>
      <w:rFonts w:ascii="黑体" w:eastAsia="黑体"/>
    </w:rPr>
  </w:style>
  <w:style w:type="paragraph" w:customStyle="1" w:styleId="205">
    <w:name w:val="标准文件_引言四级条标题"/>
    <w:basedOn w:val="58"/>
    <w:next w:val="58"/>
    <w:qFormat/>
    <w:uiPriority w:val="0"/>
    <w:pPr>
      <w:spacing w:before="50" w:beforeLines="50" w:after="50" w:afterLines="50"/>
      <w:ind w:firstLine="0" w:firstLineChars="0"/>
    </w:pPr>
    <w:rPr>
      <w:rFonts w:ascii="黑体" w:eastAsia="黑体"/>
    </w:rPr>
  </w:style>
  <w:style w:type="paragraph" w:customStyle="1" w:styleId="206">
    <w:name w:val="标准文件_引言五级条标题"/>
    <w:basedOn w:val="58"/>
    <w:next w:val="58"/>
    <w:qFormat/>
    <w:uiPriority w:val="0"/>
    <w:pPr>
      <w:spacing w:before="50" w:beforeLines="50" w:after="50" w:afterLines="50"/>
      <w:ind w:firstLine="0"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uiPriority w:val="0"/>
    <w:rPr>
      <w:rFonts w:ascii="宋体" w:hAnsi="Times New Roman" w:eastAsia="宋体" w:cs="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uiPriority w:val="0"/>
    <w:rPr>
      <w:rFonts w:ascii="黑体" w:eastAsia="黑体"/>
      <w:spacing w:val="85"/>
      <w:w w:val="100"/>
      <w:position w:val="3"/>
      <w:sz w:val="28"/>
      <w:szCs w:val="28"/>
    </w:rPr>
  </w:style>
  <w:style w:type="paragraph" w:styleId="232">
    <w:name w:val="List Paragraph"/>
    <w:basedOn w:val="1"/>
    <w:qFormat/>
    <w:uiPriority w:val="34"/>
    <w:pPr>
      <w:widowControl/>
      <w:ind w:left="720"/>
      <w:contextualSpacing/>
      <w:jc w:val="left"/>
    </w:pPr>
    <w:rPr>
      <w:rFonts w:ascii="宋体" w:hAnsi="宋体" w:cs="宋体"/>
      <w:kern w:val="0"/>
      <w:sz w:val="24"/>
      <w:szCs w:val="24"/>
    </w:rPr>
  </w:style>
  <w:style w:type="character" w:customStyle="1" w:styleId="233">
    <w:name w:val="批注文字 Char"/>
    <w:basedOn w:val="29"/>
    <w:link w:val="13"/>
    <w:semiHidden/>
    <w:uiPriority w:val="99"/>
    <w:rPr>
      <w:rFonts w:ascii="宋体" w:hAnsi="宋体" w:eastAsia="宋体" w:cs="宋体"/>
      <w:sz w:val="24"/>
      <w:szCs w:val="24"/>
    </w:rPr>
  </w:style>
  <w:style w:type="paragraph" w:customStyle="1" w:styleId="234">
    <w:name w:val="正文段落"/>
    <w:link w:val="235"/>
    <w:qFormat/>
    <w:uiPriority w:val="0"/>
    <w:pPr>
      <w:autoSpaceDE w:val="0"/>
      <w:autoSpaceDN w:val="0"/>
      <w:ind w:firstLine="200" w:firstLineChars="200"/>
      <w:jc w:val="both"/>
    </w:pPr>
    <w:rPr>
      <w:rFonts w:ascii="宋体" w:hAnsi="宋体" w:eastAsia="宋体" w:cs="Times New Roman"/>
      <w:sz w:val="21"/>
      <w:lang w:val="en-US" w:eastAsia="zh-CN" w:bidi="ar-SA"/>
    </w:rPr>
  </w:style>
  <w:style w:type="character" w:customStyle="1" w:styleId="235">
    <w:name w:val="正文段落 Char"/>
    <w:link w:val="234"/>
    <w:qFormat/>
    <w:uiPriority w:val="0"/>
    <w:rPr>
      <w:rFonts w:ascii="宋体" w:hAnsi="宋体" w:eastAsia="宋体" w:cs="Times New Roman"/>
      <w:sz w:val="21"/>
    </w:rPr>
  </w:style>
  <w:style w:type="paragraph" w:customStyle="1" w:styleId="236">
    <w:name w:val="标准_条标题1级"/>
    <w:basedOn w:val="237"/>
    <w:next w:val="1"/>
    <w:qFormat/>
    <w:uiPriority w:val="0"/>
    <w:pPr>
      <w:spacing w:before="50" w:beforeLines="50" w:after="50" w:afterLines="50"/>
      <w:outlineLvl w:val="1"/>
    </w:pPr>
    <w:rPr>
      <w:color w:val="000000"/>
      <w:lang w:eastAsia="en-US"/>
    </w:rPr>
  </w:style>
  <w:style w:type="paragraph" w:customStyle="1" w:styleId="237">
    <w:name w:val="标准_章标题"/>
    <w:next w:val="1"/>
    <w:qFormat/>
    <w:uiPriority w:val="0"/>
    <w:pPr>
      <w:spacing w:before="100" w:beforeLines="100" w:after="100" w:afterLines="100"/>
      <w:jc w:val="both"/>
      <w:outlineLvl w:val="0"/>
    </w:pPr>
    <w:rPr>
      <w:rFonts w:ascii="黑体" w:hAnsi="黑体" w:eastAsia="黑体" w:cstheme="minorBidi"/>
      <w:sz w:val="21"/>
      <w:szCs w:val="21"/>
      <w:lang w:val="en-US" w:eastAsia="zh-CN" w:bidi="ar-SA"/>
    </w:rPr>
  </w:style>
  <w:style w:type="paragraph" w:customStyle="1" w:styleId="238">
    <w:name w:val="标准_术语条目2级"/>
    <w:basedOn w:val="239"/>
    <w:next w:val="1"/>
    <w:qFormat/>
    <w:uiPriority w:val="0"/>
    <w:pPr>
      <w:numPr>
        <w:ilvl w:val="2"/>
        <w:numId w:val="29"/>
      </w:numPr>
    </w:pPr>
  </w:style>
  <w:style w:type="paragraph" w:customStyle="1" w:styleId="239">
    <w:name w:val="标准_条标题2级"/>
    <w:basedOn w:val="236"/>
    <w:next w:val="1"/>
    <w:qFormat/>
    <w:uiPriority w:val="0"/>
    <w:pPr>
      <w:outlineLvl w:val="2"/>
    </w:pPr>
  </w:style>
  <w:style w:type="paragraph" w:customStyle="1" w:styleId="240">
    <w:name w:val="标准_条标题3级"/>
    <w:basedOn w:val="239"/>
    <w:next w:val="1"/>
    <w:qFormat/>
    <w:uiPriority w:val="0"/>
    <w:pPr>
      <w:outlineLvl w:val="3"/>
    </w:pPr>
    <w:rPr>
      <w:lang w:eastAsia="zh-CN"/>
    </w:rPr>
  </w:style>
  <w:style w:type="paragraph" w:customStyle="1" w:styleId="241">
    <w:name w:val="标准_条标题4级"/>
    <w:basedOn w:val="240"/>
    <w:next w:val="1"/>
    <w:qFormat/>
    <w:uiPriority w:val="0"/>
    <w:pPr>
      <w:outlineLvl w:val="4"/>
    </w:pPr>
  </w:style>
  <w:style w:type="paragraph" w:customStyle="1" w:styleId="242">
    <w:name w:val="标准_条标题5级"/>
    <w:basedOn w:val="241"/>
    <w:next w:val="1"/>
    <w:qFormat/>
    <w:uiPriority w:val="0"/>
    <w:pPr>
      <w:outlineLvl w:val="5"/>
    </w:pPr>
  </w:style>
  <w:style w:type="paragraph" w:customStyle="1" w:styleId="243">
    <w:name w:val="标准_术语定义"/>
    <w:basedOn w:val="1"/>
    <w:next w:val="1"/>
    <w:qFormat/>
    <w:uiPriority w:val="0"/>
    <w:pPr>
      <w:widowControl/>
      <w:ind w:firstLine="420"/>
      <w:jc w:val="left"/>
    </w:pPr>
    <w:rPr>
      <w:rFonts w:ascii="Times New Roman" w:hAnsi="Times New Roman" w:cs="Times New Roman"/>
      <w:color w:val="000000"/>
      <w:kern w:val="0"/>
      <w:sz w:val="24"/>
      <w:szCs w:val="24"/>
    </w:rPr>
  </w:style>
  <w:style w:type="paragraph" w:customStyle="1" w:styleId="244">
    <w:name w:val="标准_条文2级"/>
    <w:basedOn w:val="239"/>
    <w:qFormat/>
    <w:uiPriority w:val="0"/>
    <w:pPr>
      <w:spacing w:before="0" w:beforeLines="0" w:after="0" w:afterLines="0"/>
    </w:pPr>
    <w:rPr>
      <w:rFonts w:ascii="宋体" w:eastAsia="宋体"/>
      <w:color w:val="auto"/>
    </w:rPr>
  </w:style>
  <w:style w:type="paragraph" w:customStyle="1" w:styleId="245">
    <w:name w:val="标准_参考文献条目"/>
    <w:basedOn w:val="1"/>
    <w:qFormat/>
    <w:uiPriority w:val="0"/>
    <w:pPr>
      <w:widowControl/>
      <w:numPr>
        <w:ilvl w:val="0"/>
        <w:numId w:val="30"/>
      </w:numPr>
      <w:ind w:left="824" w:leftChars="200"/>
      <w:jc w:val="left"/>
    </w:pPr>
    <w:rPr>
      <w:rFonts w:ascii="宋体" w:hAnsi="Times New Roman" w:cs="Times New Roman"/>
      <w:color w:val="000000"/>
      <w:kern w:val="0"/>
      <w:sz w:val="24"/>
      <w:szCs w:val="24"/>
    </w:rPr>
  </w:style>
  <w:style w:type="paragraph" w:customStyle="1" w:styleId="246">
    <w:name w:val="标准_图标题"/>
    <w:next w:val="1"/>
    <w:qFormat/>
    <w:uiPriority w:val="0"/>
    <w:pPr>
      <w:numPr>
        <w:ilvl w:val="0"/>
        <w:numId w:val="31"/>
      </w:numPr>
      <w:spacing w:before="50" w:beforeLines="50" w:after="50" w:afterLines="50"/>
      <w:jc w:val="center"/>
    </w:pPr>
    <w:rPr>
      <w:rFonts w:ascii="黑体" w:hAnsi="黑体" w:eastAsia="黑体" w:cstheme="minorBidi"/>
      <w:color w:val="000000"/>
      <w:sz w:val="21"/>
      <w:szCs w:val="22"/>
      <w:lang w:val="en-US" w:eastAsia="en-US" w:bidi="ar-SA"/>
    </w:rPr>
  </w:style>
  <w:style w:type="paragraph" w:customStyle="1" w:styleId="247">
    <w:name w:val="标准_示例x"/>
    <w:basedOn w:val="1"/>
    <w:next w:val="1"/>
    <w:qFormat/>
    <w:uiPriority w:val="0"/>
    <w:pPr>
      <w:widowControl/>
      <w:numPr>
        <w:ilvl w:val="0"/>
        <w:numId w:val="32"/>
      </w:numPr>
      <w:ind w:left="0"/>
      <w:jc w:val="left"/>
    </w:pPr>
    <w:rPr>
      <w:rFonts w:ascii="Times New Roman" w:hAnsi="Times New Roman" w:cs="Times New Roman"/>
      <w:color w:val="000000"/>
      <w:kern w:val="0"/>
      <w:sz w:val="18"/>
      <w:lang w:eastAsia="en-US"/>
    </w:rPr>
  </w:style>
  <w:style w:type="paragraph" w:customStyle="1" w:styleId="248">
    <w:name w:val="标准_段"/>
    <w:link w:val="249"/>
    <w:qFormat/>
    <w:uiPriority w:val="0"/>
    <w:pPr>
      <w:ind w:firstLine="420"/>
      <w:jc w:val="both"/>
    </w:pPr>
    <w:rPr>
      <w:rFonts w:ascii="宋体" w:hAnsi="Times New Roman" w:eastAsia="宋体" w:cstheme="minorBidi"/>
      <w:color w:val="000000"/>
      <w:sz w:val="21"/>
      <w:szCs w:val="21"/>
      <w:lang w:val="en-US" w:eastAsia="en-US" w:bidi="ar-SA"/>
    </w:rPr>
  </w:style>
  <w:style w:type="character" w:customStyle="1" w:styleId="249">
    <w:name w:val="标准_段 字符"/>
    <w:basedOn w:val="29"/>
    <w:link w:val="248"/>
    <w:uiPriority w:val="0"/>
    <w:rPr>
      <w:rFonts w:ascii="宋体" w:hAnsi="Times New Roman" w:eastAsia="宋体"/>
      <w:color w:val="000000"/>
      <w:sz w:val="21"/>
      <w:szCs w:val="21"/>
      <w:lang w:eastAsia="en-US"/>
    </w:rPr>
  </w:style>
  <w:style w:type="paragraph" w:customStyle="1" w:styleId="250">
    <w:name w:val="标准_注x"/>
    <w:qFormat/>
    <w:uiPriority w:val="0"/>
    <w:pPr>
      <w:ind w:left="896" w:hanging="533"/>
      <w:jc w:val="both"/>
    </w:pPr>
    <w:rPr>
      <w:rFonts w:ascii="Times New Roman" w:hAnsi="Times New Roman" w:eastAsia="宋体" w:cstheme="minorBidi"/>
      <w:sz w:val="18"/>
      <w:szCs w:val="22"/>
      <w:lang w:val="en-US" w:eastAsia="en-US" w:bidi="ar-SA"/>
    </w:rPr>
  </w:style>
  <w:style w:type="paragraph" w:customStyle="1" w:styleId="251">
    <w:name w:val="标准_注"/>
    <w:qFormat/>
    <w:uiPriority w:val="0"/>
    <w:pPr>
      <w:numPr>
        <w:ilvl w:val="0"/>
        <w:numId w:val="33"/>
      </w:numPr>
      <w:jc w:val="both"/>
    </w:pPr>
    <w:rPr>
      <w:rFonts w:ascii="Times New Roman" w:hAnsi="Times New Roman" w:eastAsia="宋体" w:cstheme="minorBidi"/>
      <w:color w:val="000000"/>
      <w:sz w:val="18"/>
      <w:szCs w:val="22"/>
      <w:lang w:val="en-US" w:eastAsia="en-US" w:bidi="ar-SA"/>
    </w:rPr>
  </w:style>
  <w:style w:type="paragraph" w:customStyle="1" w:styleId="252">
    <w:name w:val="标准_参考文献标题"/>
    <w:next w:val="248"/>
    <w:qFormat/>
    <w:uiPriority w:val="0"/>
    <w:pPr>
      <w:keepNext/>
      <w:pageBreakBefore/>
      <w:spacing w:before="50" w:beforeLines="50" w:after="50" w:afterLines="50"/>
      <w:jc w:val="center"/>
      <w:outlineLvl w:val="0"/>
    </w:pPr>
    <w:rPr>
      <w:rFonts w:ascii="黑体" w:hAnsi="黑体" w:eastAsia="黑体" w:cstheme="minorBidi"/>
      <w:sz w:val="21"/>
      <w:szCs w:val="22"/>
      <w:lang w:val="en-US" w:eastAsia="en-US" w:bidi="ar-SA"/>
    </w:rPr>
  </w:style>
  <w:style w:type="paragraph" w:customStyle="1" w:styleId="253">
    <w:name w:val="标准_表脚注"/>
    <w:basedOn w:val="248"/>
    <w:qFormat/>
    <w:uiPriority w:val="0"/>
    <w:pPr>
      <w:numPr>
        <w:ilvl w:val="0"/>
        <w:numId w:val="34"/>
      </w:numPr>
      <w:tabs>
        <w:tab w:val="left" w:pos="360"/>
      </w:tabs>
      <w:ind w:left="0" w:firstLine="420"/>
    </w:pPr>
    <w:rPr>
      <w:sz w:val="18"/>
    </w:rPr>
  </w:style>
  <w:style w:type="paragraph" w:customStyle="1" w:styleId="254">
    <w:name w:val="Revision"/>
    <w:hidden/>
    <w:semiHidden/>
    <w:qFormat/>
    <w:uiPriority w:val="99"/>
    <w:rPr>
      <w:rFonts w:ascii="Calibri" w:hAnsi="Calibri" w:eastAsia="宋体" w:cs="Times New Roman"/>
      <w:kern w:val="2"/>
      <w:sz w:val="21"/>
      <w:szCs w:val="21"/>
      <w:lang w:val="en-US" w:eastAsia="zh-CN" w:bidi="ar-SA"/>
    </w:rPr>
  </w:style>
  <w:style w:type="paragraph" w:customStyle="1" w:styleId="255">
    <w:name w:val="标准_终结线"/>
    <w:qFormat/>
    <w:uiPriority w:val="0"/>
    <w:pPr>
      <w:framePr w:w="2552" w:h="284" w:hRule="exact" w:wrap="notBeside" w:vAnchor="text" w:hAnchor="text" w:xAlign="center" w:y="1"/>
      <w:jc w:val="center"/>
    </w:pPr>
    <w:rPr>
      <w:rFonts w:ascii="黑体" w:hAnsi="Times New Roman" w:eastAsia="黑体" w:cstheme="minorBidi"/>
      <w:color w:val="000000"/>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glossaryDocument" Target="glossary/document.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A3B581AE4F984429A4E2978411DC538"/>
        <w:style w:val=""/>
        <w:category>
          <w:name w:val="常规"/>
          <w:gallery w:val="placeholder"/>
        </w:category>
        <w:types>
          <w:type w:val="bbPlcHdr"/>
        </w:types>
        <w:behaviors>
          <w:behavior w:val="content"/>
        </w:behaviors>
        <w:description w:val=""/>
        <w:guid w:val="{80D572F7-96B1-5542-A136-B44171BE73AF}"/>
      </w:docPartPr>
      <w:docPartBody>
        <w:p w14:paraId="65AB2EF5">
          <w:pPr>
            <w:pStyle w:val="5"/>
          </w:pPr>
          <w:r>
            <w:rPr>
              <w:rStyle w:val="4"/>
              <w:rFonts w:hint="eastAsia"/>
            </w:rPr>
            <w:t>单击或点击此处输入文字。</w:t>
          </w:r>
        </w:p>
      </w:docPartBody>
    </w:docPart>
    <w:docPart>
      <w:docPartPr>
        <w:name w:val="445C7F6F69B7D5499F0901A40E13998B"/>
        <w:style w:val=""/>
        <w:category>
          <w:name w:val="常规"/>
          <w:gallery w:val="placeholder"/>
        </w:category>
        <w:types>
          <w:type w:val="bbPlcHdr"/>
        </w:types>
        <w:behaviors>
          <w:behavior w:val="content"/>
        </w:behaviors>
        <w:description w:val=""/>
        <w:guid w:val="{F33806B5-A2E1-6B4A-9F56-9E4F4B2C1BB3}"/>
      </w:docPartPr>
      <w:docPartBody>
        <w:p w14:paraId="219E95F5">
          <w:pPr>
            <w:pStyle w:val="6"/>
          </w:pPr>
          <w:r>
            <w:rPr>
              <w:rStyle w:val="4"/>
              <w:rFonts w:hint="eastAsia"/>
            </w:rPr>
            <w:t>选择一项。</w:t>
          </w:r>
        </w:p>
      </w:docPartBody>
    </w:docPart>
    <w:docPart>
      <w:docPartPr>
        <w:name w:val="4B93AE804ED468499202783A090C6D85"/>
        <w:style w:val=""/>
        <w:category>
          <w:name w:val="常规"/>
          <w:gallery w:val="placeholder"/>
        </w:category>
        <w:types>
          <w:type w:val="bbPlcHdr"/>
        </w:types>
        <w:behaviors>
          <w:behavior w:val="content"/>
        </w:behaviors>
        <w:description w:val=""/>
        <w:guid w:val="{9C7ADA63-CC74-E849-8076-0C5F975FEC37}"/>
      </w:docPartPr>
      <w:docPartBody>
        <w:p w14:paraId="3CCC601F">
          <w:pPr>
            <w:pStyle w:val="7"/>
          </w:pPr>
          <w:r>
            <w:rPr>
              <w:rStyle w:val="4"/>
              <w:rFonts w:hint="eastAsia"/>
            </w:rPr>
            <w:t>选择一项。</w:t>
          </w:r>
        </w:p>
      </w:docPartBody>
    </w:docPart>
    <w:docPart>
      <w:docPartPr>
        <w:name w:val="6C7A13BFE2563549A0A95389AA38C87A"/>
        <w:style w:val=""/>
        <w:category>
          <w:name w:val="常规"/>
          <w:gallery w:val="placeholder"/>
        </w:category>
        <w:types>
          <w:type w:val="bbPlcHdr"/>
        </w:types>
        <w:behaviors>
          <w:behavior w:val="content"/>
        </w:behaviors>
        <w:description w:val=""/>
        <w:guid w:val="{1B3AB3A4-2C4C-B340-824E-71DD0055114A}"/>
      </w:docPartPr>
      <w:docPartBody>
        <w:p w14:paraId="7D6E6977">
          <w:pPr>
            <w:pStyle w:val="8"/>
          </w:pPr>
          <w:r>
            <w:rPr>
              <w:rStyle w:val="4"/>
              <w:rFonts w:hint="eastAsia"/>
            </w:rPr>
            <w:t>单击或点击此处输入文字。</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704"/>
    <w:rsid w:val="00116369"/>
    <w:rsid w:val="003A72A0"/>
    <w:rsid w:val="003B01C1"/>
    <w:rsid w:val="00436047"/>
    <w:rsid w:val="00446114"/>
    <w:rsid w:val="00597BD3"/>
    <w:rsid w:val="00B14704"/>
    <w:rsid w:val="00BB3C6B"/>
    <w:rsid w:val="00EE4367"/>
    <w:rsid w:val="00F92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A3B581AE4F984429A4E2978411DC538"/>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445C7F6F69B7D5499F0901A40E13998B"/>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4B93AE804ED468499202783A090C6D85"/>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8">
    <w:name w:val="6C7A13BFE2563549A0A95389AA38C87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71E4E5-F92B-4D30-B7AF-746643D980EC}">
  <ds:schemaRefs/>
</ds:datastoreItem>
</file>

<file path=docProps/app.xml><?xml version="1.0" encoding="utf-8"?>
<Properties xmlns="http://schemas.openxmlformats.org/officeDocument/2006/extended-properties" xmlns:vt="http://schemas.openxmlformats.org/officeDocument/2006/docPropsVTypes">
  <Template>Normal.dotm</Template>
  <Pages>8</Pages>
  <Words>4220</Words>
  <Characters>4611</Characters>
  <Lines>39</Lines>
  <Paragraphs>11</Paragraphs>
  <TotalTime>334</TotalTime>
  <ScaleCrop>false</ScaleCrop>
  <LinksUpToDate>false</LinksUpToDate>
  <CharactersWithSpaces>4720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2025-03-14T12:22:00Z</dcterms:created>
  <dc:creator>郭力生</dc:creator>
  <cp:lastModifiedBy>aa</cp:lastModifiedBy>
  <dcterms:modified xsi:type="dcterms:W3CDTF">2025-03-27T01:52:57Z</dcterms:modified>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2C1387C7B1ED405E9D53D20C0F67D7E6</vt:lpwstr>
  </property>
  <property fmtid="{D5CDD505-2E9C-101B-9397-08002B2CF9AE}" pid="4" name="KSOTemplateDocerSaveRecord">
    <vt:lpwstr>eyJoZGlkIjoiYzdmYTM1MmY2MjRjODIxY2UzNjkzY2FlMzEyMDMwNWQifQ==</vt:lpwstr>
  </property>
</Properties>
</file>