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73401">
      <w:pPr>
        <w:ind w:firstLine="550"/>
        <w:jc w:val="center"/>
        <w:rPr>
          <w:rFonts w:ascii="黑体" w:hAnsi="黑体" w:eastAsia="黑体" w:cs="黑体"/>
          <w:sz w:val="28"/>
          <w:szCs w:val="28"/>
          <w:lang w:eastAsia="zh-CN"/>
        </w:rPr>
      </w:pPr>
      <w:r>
        <w:rPr>
          <w:rFonts w:hint="eastAsia" w:ascii="黑体" w:hAnsi="黑体" w:eastAsia="黑体" w:cs="黑体"/>
          <w:b/>
          <w:bCs/>
          <w:spacing w:val="-3"/>
          <w:sz w:val="28"/>
          <w:szCs w:val="28"/>
          <w:lang w:eastAsia="zh-CN"/>
        </w:rPr>
        <w:t>《品牌饰品鉴定</w:t>
      </w:r>
      <w:r>
        <w:rPr>
          <w:rFonts w:hint="eastAsia" w:ascii="黑体" w:hAnsi="黑体" w:eastAsia="黑体" w:cs="黑体"/>
          <w:b/>
          <w:bCs/>
          <w:spacing w:val="-4"/>
          <w:sz w:val="28"/>
          <w:szCs w:val="28"/>
          <w:lang w:eastAsia="zh-CN"/>
        </w:rPr>
        <w:t>通用技术规范》团体</w:t>
      </w:r>
      <w:r>
        <w:rPr>
          <w:rFonts w:hint="eastAsia" w:ascii="黑体" w:hAnsi="黑体" w:eastAsia="黑体" w:cs="黑体"/>
          <w:b/>
          <w:bCs/>
          <w:spacing w:val="1"/>
          <w:sz w:val="28"/>
          <w:szCs w:val="28"/>
          <w:lang w:eastAsia="zh-CN"/>
        </w:rPr>
        <w:t>标准编制说明</w:t>
      </w:r>
    </w:p>
    <w:p w14:paraId="745B547E">
      <w:pPr>
        <w:ind w:firstLine="420"/>
        <w:rPr>
          <w:lang w:eastAsia="zh-CN"/>
        </w:rPr>
      </w:pPr>
    </w:p>
    <w:p w14:paraId="7B9B5D6A">
      <w:pPr>
        <w:pStyle w:val="2"/>
        <w:numPr>
          <w:ilvl w:val="0"/>
          <w:numId w:val="3"/>
        </w:numPr>
        <w:ind w:firstLineChars="0"/>
        <w:rPr>
          <w:rFonts w:ascii="黑体" w:hAnsi="黑体" w:cs="黑体"/>
          <w:spacing w:val="-5"/>
          <w:sz w:val="24"/>
          <w:szCs w:val="24"/>
          <w:lang w:eastAsia="zh-CN"/>
        </w:rPr>
      </w:pPr>
      <w:r>
        <w:rPr>
          <w:rFonts w:hint="eastAsia" w:ascii="黑体" w:hAnsi="黑体" w:cs="黑体"/>
          <w:bCs/>
          <w:spacing w:val="-8"/>
          <w:sz w:val="24"/>
          <w:szCs w:val="24"/>
          <w:lang w:eastAsia="zh-CN"/>
        </w:rPr>
        <w:t>背景简况</w:t>
      </w:r>
    </w:p>
    <w:p w14:paraId="4D822655">
      <w:pPr>
        <w:ind w:firstLine="408"/>
        <w:jc w:val="both"/>
        <w:rPr>
          <w:rFonts w:ascii="宋体" w:hAnsi="宋体" w:cs="宋体"/>
          <w:spacing w:val="-3"/>
          <w:lang w:eastAsia="zh-CN"/>
        </w:rPr>
      </w:pPr>
      <w:r>
        <w:rPr>
          <w:rFonts w:hint="eastAsia" w:ascii="宋体" w:hAnsi="宋体" w:cs="宋体"/>
          <w:spacing w:val="-3"/>
          <w:lang w:eastAsia="zh-CN"/>
        </w:rPr>
        <w:t>品牌饰品的全球市场增长持续增长，时尚配饰市场强势复苏，预计2025年市场体量将超过7800亿美元。根据《2024-2029年中国金银珠宝首饰市场深度调查研究报告》，近年来</w:t>
      </w:r>
      <w:bookmarkStart w:id="9" w:name="_GoBack"/>
      <w:bookmarkEnd w:id="9"/>
      <w:r>
        <w:rPr>
          <w:rFonts w:hint="eastAsia" w:ascii="宋体" w:hAnsi="宋体" w:cs="宋体"/>
          <w:spacing w:val="-3"/>
          <w:lang w:eastAsia="zh-CN"/>
        </w:rPr>
        <w:t>，我国金银珠宝首饰市场规模持续扩大。2023年我国珠宝玉石首饰产业市场规模约8200亿元，同比增长显著。预计2024年市场规模将超过9201亿元，部分预测甚至可能突破14000亿元。其中，黄金产品市场规模占据主导地位，钻石、玉石、彩色宝石和珍珠等品类也均有不俗表现。随着居民收入增加和消费能力提升，金银珠宝首饰市场规模有望进一步增长。</w:t>
      </w:r>
    </w:p>
    <w:p w14:paraId="79C405A2">
      <w:pPr>
        <w:ind w:firstLine="408"/>
        <w:jc w:val="both"/>
        <w:rPr>
          <w:rFonts w:ascii="宋体" w:hAnsi="宋体" w:cs="宋体"/>
          <w:spacing w:val="-3"/>
          <w:lang w:eastAsia="zh-CN"/>
        </w:rPr>
      </w:pPr>
      <w:r>
        <w:rPr>
          <w:rFonts w:hint="eastAsia" w:ascii="宋体" w:hAnsi="宋体" w:cs="宋体"/>
          <w:spacing w:val="-3"/>
          <w:lang w:eastAsia="zh-CN"/>
        </w:rPr>
        <w:t>与此同时，近年来，中国奢侈品市场规模持续扩大，成为全球奢侈品产业的重要引擎。根据《2024年中国奢侈品市场洞察报告》（以下简称《报告》），经过市场力量的悉心培育，中国奢侈品消费在近五年已稳占全球奢侈品市场1/5至1/4的江山，中国奢侈品消费者在全球市场中占据了重要的席位。2024年中国消费者的奢侈品消费规模将达到5720亿元，同比增速达4%。《报告》同时指出今年，由于出境游回暖及汇率政策优惠，中国消费者在境外产生了大量奢侈品消费，但线上信息渠道仍然是影响消费者购物决策的关键。</w:t>
      </w:r>
    </w:p>
    <w:p w14:paraId="7DA6F71C">
      <w:pPr>
        <w:ind w:firstLine="408"/>
        <w:jc w:val="both"/>
        <w:rPr>
          <w:rFonts w:ascii="宋体" w:hAnsi="宋体" w:cs="宋体"/>
          <w:spacing w:val="-3"/>
          <w:lang w:eastAsia="zh-CN"/>
        </w:rPr>
      </w:pPr>
      <w:r>
        <w:rPr>
          <w:rFonts w:hint="eastAsia" w:ascii="宋体" w:hAnsi="宋体" w:cs="宋体"/>
          <w:spacing w:val="-3"/>
          <w:lang w:eastAsia="zh-CN"/>
        </w:rPr>
        <w:t>随着品牌饰品的流通市场日渐庞大，真伪问题一直是行业的一大困扰，随着技术的发展，奢侈品鉴定行业开始采用高科技手段来确保产品的真实性，也有鉴定机构的参与，但该鉴定行业也面临着挑战，因为仿冒品的质量越来越高，出现了被称为“超级假货”的高仿品，所以目前仍然难以完全避免假货流通。假货泛滥问题让众多消费者苦恼和困惑，消费者往往会通过鉴定机构出具的鉴定报告判定产品真伪，然而我国品牌饰品鉴定机构虽然有一定的规模，这一行业也存在人才缺乏，鉴定师鉴定技术良莠不齐，部分鉴定师理论知识匮乏且鉴定经验不足，导致误判时有发生。关键鉴定方法标准的缺失，鉴定师也无法继续进行有效的理论知识的培训。一旦鉴定报告存在误判，一旦买卖双方鉴定结果不一致，也令消费者对机构出具的报告存在质疑，会让卖方陷入信任危机。</w:t>
      </w:r>
    </w:p>
    <w:p w14:paraId="0295C2CE">
      <w:pPr>
        <w:ind w:firstLine="408"/>
        <w:jc w:val="both"/>
        <w:rPr>
          <w:rFonts w:ascii="宋体" w:hAnsi="宋体" w:cs="宋体"/>
          <w:spacing w:val="-3"/>
          <w:lang w:eastAsia="zh-CN"/>
        </w:rPr>
      </w:pPr>
      <w:r>
        <w:rPr>
          <w:rFonts w:hint="eastAsia" w:ascii="宋体" w:hAnsi="宋体" w:cs="宋体"/>
          <w:spacing w:val="-3"/>
          <w:lang w:eastAsia="zh-CN"/>
        </w:rPr>
        <w:t>能否真正破解行业真伪难辨的痛点急需鉴定标准的统一。标准的统一也是使品牌饰品鉴定行业健康有序发展的重要支撑、鉴定人才培养的关键，同时也是维护品牌饰品市场繁荣稳定发展的坚实基础。</w:t>
      </w:r>
    </w:p>
    <w:p w14:paraId="7EA25F54">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任务来源</w:t>
      </w:r>
    </w:p>
    <w:p w14:paraId="7ED3B4C4">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.1 </w:t>
      </w:r>
      <w:r>
        <w:rPr>
          <w:rFonts w:hint="eastAsia" w:ascii="黑体" w:hAnsi="黑体" w:cs="黑体"/>
          <w:spacing w:val="-5"/>
          <w:lang w:eastAsia="zh-CN"/>
        </w:rPr>
        <w:t>预研阶段</w:t>
      </w:r>
    </w:p>
    <w:p w14:paraId="4848ED5C">
      <w:pPr>
        <w:ind w:firstLine="420"/>
        <w:rPr>
          <w:lang w:eastAsia="zh-CN"/>
        </w:rPr>
      </w:pPr>
      <w:r>
        <w:rPr>
          <w:rFonts w:hint="eastAsia"/>
          <w:lang w:eastAsia="zh-CN"/>
        </w:rPr>
        <w:t>中国海关科学技术研究中心组织相关单位开展了具体的调研工作，收集相关资料，包括国家标准编制规范、国内外品牌鞋服鉴定相关资料与国家行业相关标准及法律法规等。对将要立项的《品牌饰品鉴定通用技术规范》新工作项目进行研究及必要的论证，并在此基础上提出新工作项目建议，2024年11月27日，起草单位完成了相关文件的编制，并向中国出入境检验检疫协会提交了《品牌饰品鉴定通用技术规范》项目建议书和标准草案，提出立项申请。</w:t>
      </w:r>
    </w:p>
    <w:p w14:paraId="5301210A">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.2 </w:t>
      </w:r>
      <w:r>
        <w:rPr>
          <w:rFonts w:hint="eastAsia" w:ascii="黑体" w:hAnsi="黑体" w:cs="黑体"/>
          <w:spacing w:val="-5"/>
          <w:lang w:eastAsia="zh-CN"/>
        </w:rPr>
        <w:t>立项阶段</w:t>
      </w:r>
    </w:p>
    <w:p w14:paraId="59A16466">
      <w:pPr>
        <w:ind w:firstLine="408"/>
        <w:jc w:val="both"/>
        <w:rPr>
          <w:rFonts w:ascii="宋体" w:hAnsi="宋体" w:cs="宋体"/>
          <w:spacing w:val="-3"/>
          <w:lang w:eastAsia="zh-CN"/>
        </w:rPr>
      </w:pPr>
      <w:r>
        <w:rPr>
          <w:rFonts w:hint="eastAsia" w:ascii="宋体" w:hAnsi="宋体" w:cs="宋体"/>
          <w:spacing w:val="-3"/>
          <w:lang w:eastAsia="zh-CN"/>
        </w:rPr>
        <w:t>1</w:t>
      </w:r>
      <w:r>
        <w:rPr>
          <w:rFonts w:ascii="宋体" w:hAnsi="宋体" w:cs="宋体"/>
          <w:spacing w:val="-3"/>
          <w:lang w:eastAsia="zh-CN"/>
        </w:rPr>
        <w:t>2</w:t>
      </w:r>
      <w:r>
        <w:rPr>
          <w:rFonts w:hint="eastAsia" w:ascii="宋体" w:hAnsi="宋体" w:cs="宋体"/>
          <w:spacing w:val="-3"/>
          <w:lang w:eastAsia="zh-CN"/>
        </w:rPr>
        <w:t>月1</w:t>
      </w:r>
      <w:r>
        <w:rPr>
          <w:rFonts w:ascii="宋体" w:hAnsi="宋体" w:cs="宋体"/>
          <w:spacing w:val="-3"/>
          <w:lang w:eastAsia="zh-CN"/>
        </w:rPr>
        <w:t>9</w:t>
      </w:r>
      <w:r>
        <w:rPr>
          <w:rFonts w:hint="eastAsia" w:ascii="宋体" w:hAnsi="宋体" w:cs="宋体"/>
          <w:spacing w:val="-3"/>
          <w:lang w:eastAsia="zh-CN"/>
        </w:rPr>
        <w:t>日，中国出入境检验检疫协会高端消费品标准化技术委员会（CIQA/TC 18）根据中国出入境检验检疫协会发出的《关于召开高端消费品标准化技术委员会〈品牌鞋服鉴定通用技术规范〉等三项团体标准立项评估会的通知》，召开了立项专家评估会议，评估通过后上报中国出入境检验检疫协会批准立项。2024年</w:t>
      </w:r>
      <w:r>
        <w:rPr>
          <w:rFonts w:ascii="宋体" w:hAnsi="宋体" w:cs="宋体"/>
          <w:spacing w:val="-3"/>
          <w:lang w:eastAsia="zh-CN"/>
        </w:rPr>
        <w:t>12</w:t>
      </w:r>
      <w:r>
        <w:rPr>
          <w:rFonts w:hint="eastAsia" w:ascii="宋体" w:hAnsi="宋体" w:cs="宋体"/>
          <w:spacing w:val="-3"/>
          <w:lang w:eastAsia="zh-CN"/>
        </w:rPr>
        <w:t>月</w:t>
      </w:r>
      <w:r>
        <w:rPr>
          <w:rFonts w:ascii="宋体" w:hAnsi="宋体" w:cs="宋体"/>
          <w:spacing w:val="-3"/>
          <w:lang w:eastAsia="zh-CN"/>
        </w:rPr>
        <w:t>24</w:t>
      </w:r>
      <w:r>
        <w:rPr>
          <w:rFonts w:hint="eastAsia" w:ascii="宋体" w:hAnsi="宋体" w:cs="宋体"/>
          <w:spacing w:val="-3"/>
          <w:lang w:eastAsia="zh-CN"/>
        </w:rPr>
        <w:t>日，协会批准了</w:t>
      </w:r>
      <w:r>
        <w:rPr>
          <w:rFonts w:ascii="宋体" w:hAnsi="宋体" w:cs="宋体"/>
          <w:spacing w:val="-3"/>
          <w:lang w:eastAsia="zh-CN"/>
        </w:rPr>
        <w:t>CIQA/TC 18</w:t>
      </w:r>
      <w:r>
        <w:rPr>
          <w:rFonts w:hint="eastAsia" w:ascii="宋体" w:hAnsi="宋体" w:cs="宋体"/>
          <w:spacing w:val="-3"/>
          <w:lang w:eastAsia="zh-CN"/>
        </w:rPr>
        <w:t>关于《品牌饰品鉴定通用技术规范》团体标准的立项，立项号为P/CIQA-</w:t>
      </w:r>
      <w:r>
        <w:rPr>
          <w:rFonts w:ascii="宋体" w:hAnsi="宋体" w:cs="宋体"/>
          <w:spacing w:val="-3"/>
          <w:lang w:eastAsia="zh-CN"/>
        </w:rPr>
        <w:t>214</w:t>
      </w:r>
      <w:r>
        <w:rPr>
          <w:rFonts w:hint="eastAsia" w:ascii="宋体" w:hAnsi="宋体" w:cs="宋体"/>
          <w:spacing w:val="-3"/>
          <w:lang w:eastAsia="zh-CN"/>
        </w:rPr>
        <w:t>-2024。牵头起草单位为中国海关科学技术研究中心。列入2</w:t>
      </w:r>
      <w:r>
        <w:rPr>
          <w:rFonts w:ascii="宋体" w:hAnsi="宋体" w:cs="宋体"/>
          <w:spacing w:val="-3"/>
          <w:lang w:eastAsia="zh-CN"/>
        </w:rPr>
        <w:t>024</w:t>
      </w:r>
      <w:r>
        <w:rPr>
          <w:rFonts w:hint="eastAsia" w:ascii="宋体" w:hAnsi="宋体" w:cs="宋体"/>
          <w:spacing w:val="-3"/>
          <w:lang w:eastAsia="zh-CN"/>
        </w:rPr>
        <w:t>年中国出入境检验检疫协会标准工作项目计划，本项目计划于202</w:t>
      </w:r>
      <w:r>
        <w:rPr>
          <w:rFonts w:ascii="宋体" w:hAnsi="宋体" w:cs="宋体"/>
          <w:spacing w:val="-3"/>
          <w:lang w:eastAsia="zh-CN"/>
        </w:rPr>
        <w:t>5</w:t>
      </w:r>
      <w:r>
        <w:rPr>
          <w:rFonts w:hint="eastAsia" w:ascii="宋体" w:hAnsi="宋体" w:cs="宋体"/>
          <w:spacing w:val="-3"/>
          <w:lang w:eastAsia="zh-CN"/>
        </w:rPr>
        <w:t>年</w:t>
      </w:r>
      <w:r>
        <w:rPr>
          <w:rFonts w:ascii="宋体" w:hAnsi="宋体" w:cs="宋体"/>
          <w:spacing w:val="-3"/>
          <w:lang w:eastAsia="zh-CN"/>
        </w:rPr>
        <w:t>12</w:t>
      </w:r>
      <w:r>
        <w:rPr>
          <w:rFonts w:hint="eastAsia" w:ascii="宋体" w:hAnsi="宋体" w:cs="宋体"/>
          <w:spacing w:val="-3"/>
          <w:lang w:eastAsia="zh-CN"/>
        </w:rPr>
        <w:t>月完成。</w:t>
      </w:r>
    </w:p>
    <w:p w14:paraId="02A07FD4">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.3 </w:t>
      </w:r>
      <w:r>
        <w:rPr>
          <w:rFonts w:hint="eastAsia" w:ascii="黑体" w:hAnsi="黑体" w:cs="黑体"/>
          <w:spacing w:val="-5"/>
          <w:lang w:eastAsia="zh-CN"/>
        </w:rPr>
        <w:t>起草阶段</w:t>
      </w:r>
    </w:p>
    <w:p w14:paraId="6142D9C2">
      <w:pPr>
        <w:ind w:firstLine="408"/>
        <w:jc w:val="both"/>
        <w:rPr>
          <w:rFonts w:ascii="宋体" w:hAnsi="宋体" w:cs="宋体"/>
          <w:spacing w:val="-3"/>
          <w:lang w:eastAsia="zh-CN"/>
        </w:rPr>
      </w:pPr>
      <w:r>
        <w:rPr>
          <w:rFonts w:hint="eastAsia" w:ascii="宋体" w:hAnsi="宋体" w:cs="宋体"/>
          <w:spacing w:val="-3"/>
          <w:lang w:eastAsia="zh-CN"/>
        </w:rPr>
        <w:t>2024年12月24日项目下达后，中国海关科学技术研究中心组织成立起草小组，开展了标准起草、国内外鉴定标准等调研、查重和查新工作，标准编制组深入学习相关的国际标准、国家标准，以及其他类型的标准和技术文献等，对当前品牌鞋服鉴定行业及鉴定技术情况进行充分调研及分析。同时，标准编制组与行业专家就《《品牌饰品鉴定通用技术规范》的鉴定程序进行了多次讨论，分别于2</w:t>
      </w:r>
      <w:r>
        <w:rPr>
          <w:rFonts w:ascii="宋体" w:hAnsi="宋体" w:cs="宋体"/>
          <w:spacing w:val="-3"/>
          <w:lang w:eastAsia="zh-CN"/>
        </w:rPr>
        <w:t>025</w:t>
      </w:r>
      <w:r>
        <w:rPr>
          <w:rFonts w:hint="eastAsia" w:ascii="宋体" w:hAnsi="宋体" w:cs="宋体"/>
          <w:spacing w:val="-3"/>
          <w:lang w:eastAsia="zh-CN"/>
        </w:rPr>
        <w:t>年2月2</w:t>
      </w:r>
      <w:r>
        <w:rPr>
          <w:rFonts w:ascii="宋体" w:hAnsi="宋体" w:cs="宋体"/>
          <w:spacing w:val="-3"/>
          <w:lang w:eastAsia="zh-CN"/>
        </w:rPr>
        <w:t>7</w:t>
      </w:r>
      <w:r>
        <w:rPr>
          <w:rFonts w:hint="eastAsia" w:ascii="宋体" w:hAnsi="宋体" w:cs="宋体"/>
          <w:spacing w:val="-3"/>
          <w:lang w:eastAsia="zh-CN"/>
        </w:rPr>
        <w:t>日召开团体标准内容研讨会议，对如何建立鉴定流程、具体鉴定项目以及鉴定顺序等进行了充分讨论，以符合目前鉴定行业的需求。在充分吸收行业专家意见后，标准编制组在此基础上，初步形成了本标准的框架和技术指标，并于2</w:t>
      </w:r>
      <w:r>
        <w:rPr>
          <w:rFonts w:ascii="宋体" w:hAnsi="宋体" w:cs="宋体"/>
          <w:spacing w:val="-3"/>
          <w:lang w:eastAsia="zh-CN"/>
        </w:rPr>
        <w:t>025</w:t>
      </w:r>
      <w:r>
        <w:rPr>
          <w:rFonts w:hint="eastAsia" w:ascii="宋体" w:hAnsi="宋体" w:cs="宋体"/>
          <w:spacing w:val="-3"/>
          <w:lang w:eastAsia="zh-CN"/>
        </w:rPr>
        <w:t>年3月1</w:t>
      </w:r>
      <w:r>
        <w:rPr>
          <w:rFonts w:ascii="宋体" w:hAnsi="宋体" w:cs="宋体"/>
          <w:spacing w:val="-3"/>
          <w:lang w:eastAsia="zh-CN"/>
        </w:rPr>
        <w:t>1</w:t>
      </w:r>
      <w:r>
        <w:rPr>
          <w:rFonts w:hint="eastAsia" w:ascii="宋体" w:hAnsi="宋体" w:cs="宋体"/>
          <w:spacing w:val="-3"/>
          <w:lang w:eastAsia="zh-CN"/>
        </w:rPr>
        <w:t>日至1</w:t>
      </w:r>
      <w:r>
        <w:rPr>
          <w:rFonts w:ascii="宋体" w:hAnsi="宋体" w:cs="宋体"/>
          <w:spacing w:val="-3"/>
          <w:lang w:eastAsia="zh-CN"/>
        </w:rPr>
        <w:t>5</w:t>
      </w:r>
      <w:r>
        <w:rPr>
          <w:rFonts w:hint="eastAsia" w:ascii="宋体" w:hAnsi="宋体" w:cs="宋体"/>
          <w:spacing w:val="-3"/>
          <w:lang w:eastAsia="zh-CN"/>
        </w:rPr>
        <w:t>日在起草单位内部进行了再次研讨，并组织相关鉴定机构对起草文本进行了初步的流程验证。在此基础上形成标准草案征求意见稿和编制说明。</w:t>
      </w:r>
    </w:p>
    <w:p w14:paraId="739EEF2C">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.4 </w:t>
      </w:r>
      <w:r>
        <w:rPr>
          <w:rFonts w:hint="eastAsia" w:ascii="黑体" w:hAnsi="黑体" w:cs="黑体"/>
          <w:spacing w:val="-5"/>
          <w:lang w:eastAsia="zh-CN"/>
        </w:rPr>
        <w:t>主要参加单位和工作组成员及其所做的工作</w:t>
      </w:r>
    </w:p>
    <w:p w14:paraId="73DD0412">
      <w:pPr>
        <w:jc w:val="both"/>
        <w:rPr>
          <w:rFonts w:ascii="宋体" w:hAnsi="宋体" w:cs="宋体"/>
          <w:spacing w:val="-5"/>
          <w:lang w:eastAsia="zh-CN"/>
        </w:rPr>
      </w:pPr>
      <w:r>
        <w:rPr>
          <w:rFonts w:hint="eastAsia" w:ascii="宋体" w:hAnsi="宋体" w:cs="宋体"/>
          <w:spacing w:val="-5"/>
          <w:lang w:eastAsia="zh-CN"/>
        </w:rPr>
        <w:t>本项目由中国出入境检验检疫协会高端消费品标准化技术委员会（CIQA/TC18）提出并归口，负责起草小组的组建和全面协调起草小组工作。</w:t>
      </w:r>
    </w:p>
    <w:p w14:paraId="6121FAFB">
      <w:pPr>
        <w:jc w:val="both"/>
        <w:rPr>
          <w:rFonts w:ascii="宋体" w:hAnsi="宋体" w:cs="宋体"/>
          <w:spacing w:val="-5"/>
          <w:lang w:eastAsia="zh-CN"/>
        </w:rPr>
      </w:pPr>
      <w:r>
        <w:rPr>
          <w:rFonts w:hint="eastAsia" w:ascii="宋体" w:hAnsi="宋体" w:cs="宋体"/>
          <w:spacing w:val="-5"/>
          <w:lang w:eastAsia="zh-CN"/>
        </w:rPr>
        <w:t>主要起草单位：中国海关科学技术研究中心、国家市场监督管理总局发展研究中心、深圳海关工业品检测技术中心、国家珠宝玉石质量监督检验中心实验室有限公司、珠宝玉石首饰国检集团北京教育科技有限公司、北京服装学院、对外经济贸易大学、北京中认检测技术服务有限公司、中安防伪技术有限公司、天纺标质检技术服务（天津）有限公司、上海得物信息集团有限公司、致美生活（北京）科技有限公司、杭州跨客技术服务有限公司、中奢鉴（北京）科技发展有限责任公司、浙江小安检测有限公司、中古检测认证有限公司、安徽历镜质量技术服务有限公司、天津原鉴检验检测有限公司、南京天鼠科技有限公司、国鉴检验检测（杭州）有限公司、上海众饰鉴检测有限公司、中全鉴检验检测认证（哈尔滨）有限公司、中正云检测认证（上海）有限公司、中贸(深圳)检验认证有限公司。</w:t>
      </w:r>
    </w:p>
    <w:p w14:paraId="6ACD9C37">
      <w:pPr>
        <w:jc w:val="both"/>
        <w:rPr>
          <w:rFonts w:ascii="宋体" w:hAnsi="宋体" w:cs="宋体"/>
          <w:spacing w:val="-5"/>
          <w:lang w:eastAsia="zh-CN"/>
        </w:rPr>
      </w:pPr>
      <w:r>
        <w:rPr>
          <w:rFonts w:hint="eastAsia" w:ascii="宋体" w:hAnsi="宋体" w:cs="宋体"/>
          <w:spacing w:val="-5"/>
          <w:lang w:eastAsia="zh-CN"/>
        </w:rPr>
        <w:t>具体工作内容:标准编写、相关材料整理、参与起草标准和编制说明，确定标准框架和内容，参加各次会议、听取专家意见建议，修改完善标准和编制说明等。</w:t>
      </w:r>
    </w:p>
    <w:p w14:paraId="64BF63EA">
      <w:pPr>
        <w:jc w:val="both"/>
        <w:rPr>
          <w:rFonts w:ascii="宋体" w:hAnsi="宋体" w:cs="宋体"/>
          <w:spacing w:val="-5"/>
          <w:lang w:eastAsia="zh-CN"/>
        </w:rPr>
      </w:pPr>
      <w:r>
        <w:rPr>
          <w:rFonts w:hint="eastAsia" w:ascii="宋体" w:hAnsi="宋体" w:cs="宋体"/>
          <w:spacing w:val="-5"/>
          <w:lang w:eastAsia="zh-CN"/>
        </w:rPr>
        <w:t>主要起草人：王琳譞、李桐、张琛、张伟娟、张梦霞、沈崇辉、冯晓燕、张健、陈坚、柴萌、刘扬、王淇、李鹏、李梦苏、陈梦缘、陈伟、周萌、李昱霏、李萌、张小鲁、李龙、周全盛、赖祖亮、王天伟、沈瀚林、胡巍巍、梁辰、雷雨春、王虎、樊海英、方源、李强、吴健、魏林、王彤、施舒、李洋宇。主要负责标准编制的技术指导、工作推进和质量把控，重要工作节点的内外沟通联系。</w:t>
      </w:r>
    </w:p>
    <w:p w14:paraId="2AE82706">
      <w:pPr>
        <w:jc w:val="both"/>
        <w:rPr>
          <w:rFonts w:ascii="宋体" w:hAnsi="宋体" w:cs="宋体"/>
          <w:spacing w:val="-5"/>
          <w:lang w:eastAsia="zh-CN"/>
        </w:rPr>
      </w:pPr>
      <w:r>
        <w:rPr>
          <w:rFonts w:hint="eastAsia" w:ascii="宋体" w:hAnsi="宋体" w:cs="宋体"/>
          <w:spacing w:val="-5"/>
          <w:lang w:eastAsia="zh-CN"/>
        </w:rPr>
        <w:t>具体工作内容：共同组建标准起草小组、提炼标准框架、参加各次研讨会，从标准化专业角度出发，整体把控标准框架和内容，对提出的修改意见综合考虑，充分论证，确定是否采纳，不断提升标准的科学性、实用性和可操作性；对征求意见材料进行把关等。</w:t>
      </w:r>
    </w:p>
    <w:p w14:paraId="47634793">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标准编制原则和标准核心技术要素</w:t>
      </w:r>
    </w:p>
    <w:p w14:paraId="3EF170DD">
      <w:pPr>
        <w:pStyle w:val="3"/>
        <w:ind w:firstLine="402"/>
        <w:rPr>
          <w:rFonts w:ascii="黑体" w:hAnsi="黑体" w:cs="黑体"/>
          <w:spacing w:val="-5"/>
          <w:lang w:eastAsia="zh-CN"/>
        </w:rPr>
      </w:pPr>
      <w:bookmarkStart w:id="0" w:name="_Toc4612"/>
      <w:r>
        <w:rPr>
          <w:rFonts w:ascii="黑体" w:hAnsi="黑体" w:cs="黑体"/>
          <w:spacing w:val="-5"/>
          <w:lang w:eastAsia="zh-CN"/>
        </w:rPr>
        <w:t xml:space="preserve">3.1 </w:t>
      </w:r>
      <w:r>
        <w:rPr>
          <w:rFonts w:hint="eastAsia" w:ascii="黑体" w:hAnsi="黑体" w:cs="黑体"/>
          <w:spacing w:val="-5"/>
          <w:lang w:eastAsia="zh-CN"/>
        </w:rPr>
        <w:t>标准编制原则</w:t>
      </w:r>
      <w:bookmarkEnd w:id="0"/>
    </w:p>
    <w:p w14:paraId="0BE7C55A">
      <w:pPr>
        <w:ind w:firstLine="420"/>
        <w:rPr>
          <w:spacing w:val="-9"/>
          <w:lang w:eastAsia="zh-CN"/>
        </w:rPr>
      </w:pPr>
      <w:r>
        <w:rPr>
          <w:rFonts w:hint="eastAsia"/>
          <w:lang w:eastAsia="zh-CN"/>
        </w:rPr>
        <w:t>本文件的制定本着先进性、科学性、合理性和可操作性的原则以及标准的目标统一性、协调性、适用性、一致性和规范性原则，并适应我国当前品牌皮具鉴定的需要。本文件的编写结构和内容编排等方面依据GB/T</w:t>
      </w:r>
      <w:r>
        <w:rPr>
          <w:rFonts w:hint="eastAsia"/>
          <w:spacing w:val="18"/>
          <w:w w:val="101"/>
          <w:lang w:eastAsia="zh-CN"/>
        </w:rPr>
        <w:t xml:space="preserve"> </w:t>
      </w:r>
      <w:r>
        <w:rPr>
          <w:rFonts w:hint="eastAsia"/>
          <w:lang w:eastAsia="zh-CN"/>
        </w:rPr>
        <w:t>1.1—2</w:t>
      </w:r>
      <w:r>
        <w:rPr>
          <w:lang w:eastAsia="zh-CN"/>
        </w:rPr>
        <w:t>020</w:t>
      </w:r>
      <w:r>
        <w:rPr>
          <w:rFonts w:hint="eastAsia"/>
          <w:lang w:eastAsia="zh-CN"/>
        </w:rPr>
        <w:t>《标准化工作导则 第1部分：标</w:t>
      </w:r>
      <w:r>
        <w:rPr>
          <w:rFonts w:hint="eastAsia"/>
          <w:spacing w:val="-9"/>
          <w:lang w:eastAsia="zh-CN"/>
        </w:rPr>
        <w:t>准的结构和编写规则》。</w:t>
      </w:r>
    </w:p>
    <w:p w14:paraId="1C1D15C4">
      <w:pPr>
        <w:pStyle w:val="3"/>
        <w:ind w:firstLine="402"/>
        <w:rPr>
          <w:rFonts w:ascii="黑体" w:hAnsi="黑体" w:cs="黑体"/>
          <w:spacing w:val="-5"/>
          <w:lang w:eastAsia="zh-CN"/>
        </w:rPr>
      </w:pPr>
      <w:bookmarkStart w:id="1" w:name="_Toc11807"/>
      <w:r>
        <w:rPr>
          <w:rFonts w:ascii="黑体" w:hAnsi="黑体" w:cs="黑体"/>
          <w:spacing w:val="-5"/>
          <w:lang w:eastAsia="zh-CN"/>
        </w:rPr>
        <w:t xml:space="preserve">3.2 </w:t>
      </w:r>
      <w:r>
        <w:rPr>
          <w:rFonts w:hint="eastAsia" w:ascii="黑体" w:hAnsi="黑体" w:cs="黑体"/>
          <w:spacing w:val="-5"/>
          <w:lang w:eastAsia="zh-CN"/>
        </w:rPr>
        <w:t>标准主要内容</w:t>
      </w:r>
      <w:bookmarkEnd w:id="1"/>
    </w:p>
    <w:p w14:paraId="07A7A543">
      <w:pPr>
        <w:pStyle w:val="13"/>
        <w:ind w:firstLine="420"/>
        <w:rPr>
          <w:szCs w:val="21"/>
        </w:rPr>
      </w:pPr>
      <w:r>
        <w:rPr>
          <w:rFonts w:hint="eastAsia"/>
          <w:szCs w:val="21"/>
        </w:rPr>
        <w:t>本文件共分为</w:t>
      </w:r>
      <w:r>
        <w:rPr>
          <w:szCs w:val="21"/>
        </w:rPr>
        <w:t>8</w:t>
      </w:r>
      <w:r>
        <w:rPr>
          <w:rFonts w:hint="eastAsia"/>
          <w:szCs w:val="21"/>
        </w:rPr>
        <w:t>章，分别为1</w:t>
      </w:r>
      <w:r>
        <w:rPr>
          <w:szCs w:val="21"/>
        </w:rPr>
        <w:t xml:space="preserve"> 范围</w:t>
      </w:r>
      <w:r>
        <w:rPr>
          <w:rFonts w:hint="eastAsia"/>
          <w:szCs w:val="21"/>
        </w:rPr>
        <w:t>、</w:t>
      </w:r>
      <w:r>
        <w:rPr>
          <w:szCs w:val="21"/>
        </w:rPr>
        <w:t>2 规范性引用文件</w:t>
      </w:r>
      <w:r>
        <w:rPr>
          <w:rFonts w:hint="eastAsia" w:asciiTheme="minorHAnsi" w:hAnsiTheme="minorHAnsi" w:eastAsiaTheme="minorEastAsia" w:cstheme="minorBidi"/>
          <w:szCs w:val="21"/>
          <w14:ligatures w14:val="standardContextual"/>
        </w:rPr>
        <w:t>、</w:t>
      </w:r>
      <w:r>
        <w:rPr>
          <w:szCs w:val="21"/>
        </w:rPr>
        <w:t>3 术语和定义</w:t>
      </w:r>
      <w:r>
        <w:rPr>
          <w:rFonts w:hint="eastAsia" w:asciiTheme="minorHAnsi" w:hAnsiTheme="minorHAnsi" w:eastAsiaTheme="minorEastAsia" w:cstheme="minorBidi"/>
          <w:szCs w:val="21"/>
          <w14:ligatures w14:val="standardContextual"/>
        </w:rPr>
        <w:t>、</w:t>
      </w:r>
      <w:r>
        <w:rPr>
          <w:szCs w:val="21"/>
        </w:rPr>
        <w:t>4 鉴定机构</w:t>
      </w:r>
      <w:r>
        <w:rPr>
          <w:rFonts w:hint="eastAsia"/>
          <w:szCs w:val="21"/>
        </w:rPr>
        <w:t>、5</w:t>
      </w:r>
      <w:r>
        <w:rPr>
          <w:szCs w:val="21"/>
        </w:rPr>
        <w:t xml:space="preserve"> </w:t>
      </w:r>
      <w:r>
        <w:rPr>
          <w:rFonts w:hint="eastAsia"/>
          <w:szCs w:val="21"/>
        </w:rPr>
        <w:t xml:space="preserve"> </w:t>
      </w:r>
      <w:r>
        <w:rPr>
          <w:szCs w:val="21"/>
        </w:rPr>
        <w:t>鉴定人员</w:t>
      </w:r>
      <w:r>
        <w:rPr>
          <w:rFonts w:hint="eastAsia"/>
          <w:szCs w:val="21"/>
        </w:rPr>
        <w:t>、</w:t>
      </w:r>
      <w:r>
        <w:rPr>
          <w:szCs w:val="21"/>
        </w:rPr>
        <w:t>6 仪器与设备</w:t>
      </w:r>
      <w:r>
        <w:rPr>
          <w:rFonts w:hint="eastAsia"/>
          <w:szCs w:val="21"/>
        </w:rPr>
        <w:t>、</w:t>
      </w:r>
      <w:r>
        <w:rPr>
          <w:szCs w:val="21"/>
        </w:rPr>
        <w:t>7 鉴定环境</w:t>
      </w:r>
      <w:r>
        <w:rPr>
          <w:rFonts w:hint="eastAsia" w:asciiTheme="minorHAnsi" w:hAnsiTheme="minorHAnsi" w:eastAsiaTheme="minorEastAsia" w:cstheme="minorBidi"/>
          <w:szCs w:val="21"/>
          <w14:ligatures w14:val="standardContextual"/>
        </w:rPr>
        <w:t>、</w:t>
      </w:r>
      <w:r>
        <w:rPr>
          <w:szCs w:val="21"/>
        </w:rPr>
        <w:t>8 鉴定程序</w:t>
      </w:r>
      <w:r>
        <w:rPr>
          <w:rFonts w:hint="eastAsia"/>
          <w:szCs w:val="21"/>
        </w:rPr>
        <w:t>。</w:t>
      </w:r>
    </w:p>
    <w:p w14:paraId="4E62696D">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2.2.1 </w:t>
      </w:r>
      <w:r>
        <w:rPr>
          <w:rFonts w:hint="eastAsia" w:ascii="宋体" w:hAnsi="宋体" w:cs="宋体"/>
          <w:spacing w:val="-2"/>
          <w:lang w:eastAsia="zh-CN"/>
        </w:rPr>
        <w:t>范围</w:t>
      </w:r>
    </w:p>
    <w:p w14:paraId="364EEFDA">
      <w:pPr>
        <w:ind w:firstLine="420"/>
        <w:jc w:val="both"/>
        <w:rPr>
          <w:rFonts w:ascii="宋体" w:hAnsi="Times New Roman" w:cs="Times New Roman"/>
          <w:snapToGrid/>
          <w:color w:val="auto"/>
          <w:lang w:eastAsia="zh-CN"/>
        </w:rPr>
      </w:pPr>
      <w:r>
        <w:rPr>
          <w:rFonts w:hint="eastAsia" w:ascii="宋体" w:hAnsi="Times New Roman" w:cs="Times New Roman"/>
          <w:snapToGrid/>
          <w:color w:val="auto"/>
          <w:lang w:eastAsia="zh-CN"/>
        </w:rPr>
        <w:t>本文件规定了品牌饰品鉴定的基本要求，描述了鉴定程序，界定了品牌饰品相关术语。</w:t>
      </w:r>
    </w:p>
    <w:p w14:paraId="65334EBC">
      <w:pPr>
        <w:ind w:firstLine="420"/>
        <w:jc w:val="both"/>
        <w:rPr>
          <w:lang w:eastAsia="zh-CN"/>
        </w:rPr>
      </w:pPr>
      <w:r>
        <w:rPr>
          <w:rFonts w:hint="eastAsia" w:ascii="宋体" w:hAnsi="Times New Roman" w:cs="Times New Roman"/>
          <w:snapToGrid/>
          <w:color w:val="auto"/>
          <w:lang w:eastAsia="zh-CN"/>
        </w:rPr>
        <w:t>本文件适用于司法、海关、保险、资产评估、电商平台、线下交易、跨境电子商务等品牌饰品鉴定使用</w:t>
      </w:r>
      <w:r>
        <w:rPr>
          <w:rFonts w:hint="eastAsia"/>
          <w:lang w:eastAsia="zh-CN"/>
        </w:rPr>
        <w:t>。</w:t>
      </w:r>
      <w:bookmarkStart w:id="2" w:name="_Toc26718931"/>
      <w:bookmarkStart w:id="3" w:name="_Toc26986531"/>
      <w:bookmarkStart w:id="4" w:name="_Toc26986772"/>
      <w:bookmarkStart w:id="5" w:name="_Toc177989545"/>
    </w:p>
    <w:p w14:paraId="63DB69D8">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2.2.2 </w:t>
      </w:r>
      <w:r>
        <w:rPr>
          <w:rFonts w:hint="eastAsia" w:ascii="宋体" w:hAnsi="宋体" w:cs="宋体"/>
          <w:spacing w:val="-2"/>
          <w:lang w:eastAsia="zh-CN"/>
        </w:rPr>
        <w:t>规范性应用文件</w:t>
      </w:r>
    </w:p>
    <w:p w14:paraId="47782CEE">
      <w:pPr>
        <w:pStyle w:val="13"/>
        <w:ind w:firstLine="420"/>
        <w:rPr>
          <w:szCs w:val="21"/>
        </w:rPr>
      </w:pPr>
      <w:r>
        <w:rPr>
          <w:rFonts w:hint="eastAsia"/>
          <w:szCs w:val="21"/>
        </w:rPr>
        <w:t>本文件引用了</w:t>
      </w:r>
      <w:bookmarkEnd w:id="2"/>
      <w:bookmarkEnd w:id="3"/>
      <w:bookmarkEnd w:id="4"/>
      <w:bookmarkEnd w:id="5"/>
      <w:r>
        <w:rPr>
          <w:szCs w:val="21"/>
        </w:rPr>
        <w:t>7</w:t>
      </w:r>
      <w:r>
        <w:rPr>
          <w:rFonts w:hint="eastAsia"/>
          <w:szCs w:val="21"/>
        </w:rPr>
        <w:t>项国家标准、行业标准和团体标准，包括了饰品相关术语标准、标识标识以及品牌消费品鉴定机构及人员管理通用基本规范。</w:t>
      </w:r>
    </w:p>
    <w:p w14:paraId="1E23D599">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2.2.3 </w:t>
      </w:r>
      <w:r>
        <w:rPr>
          <w:rFonts w:hint="eastAsia" w:ascii="宋体" w:hAnsi="宋体" w:cs="宋体"/>
          <w:spacing w:val="-2"/>
          <w:lang w:eastAsia="zh-CN"/>
        </w:rPr>
        <w:t>术语和定义</w:t>
      </w:r>
    </w:p>
    <w:p w14:paraId="55BCA9B1">
      <w:pPr>
        <w:pStyle w:val="13"/>
        <w:ind w:firstLine="199" w:firstLineChars="95"/>
        <w:rPr>
          <w:szCs w:val="21"/>
        </w:rPr>
      </w:pPr>
      <w:r>
        <w:rPr>
          <w:rFonts w:hint="eastAsia"/>
          <w:szCs w:val="21"/>
        </w:rPr>
        <w:t>本文件规定了品牌、饰品、品牌饰品、产品标识、保修卡、防伪信息、保证书、对比样品、送检样品、仿冒等1</w:t>
      </w:r>
      <w:r>
        <w:rPr>
          <w:szCs w:val="21"/>
        </w:rPr>
        <w:t>0</w:t>
      </w:r>
      <w:r>
        <w:rPr>
          <w:rFonts w:hint="eastAsia"/>
          <w:szCs w:val="21"/>
        </w:rPr>
        <w:t>个术语和定义。</w:t>
      </w:r>
    </w:p>
    <w:p w14:paraId="0BF7F5B8">
      <w:pPr>
        <w:pStyle w:val="4"/>
        <w:spacing w:before="120" w:after="120"/>
        <w:ind w:firstLine="412"/>
        <w:jc w:val="both"/>
        <w:rPr>
          <w:rFonts w:ascii="宋体" w:hAnsi="宋体" w:cs="宋体"/>
          <w:spacing w:val="-2"/>
          <w:lang w:eastAsia="zh-CN"/>
        </w:rPr>
      </w:pPr>
      <w:r>
        <w:rPr>
          <w:rFonts w:hint="eastAsia" w:ascii="宋体" w:hAnsi="宋体" w:cs="宋体"/>
          <w:spacing w:val="-2"/>
          <w:lang w:eastAsia="zh-CN"/>
        </w:rPr>
        <w:t>3.3.4 鉴定机构</w:t>
      </w:r>
    </w:p>
    <w:p w14:paraId="086B9267">
      <w:pPr>
        <w:pStyle w:val="13"/>
        <w:ind w:firstLine="195" w:firstLineChars="95"/>
        <w:rPr>
          <w:rFonts w:hAnsi="宋体" w:cs="宋体"/>
          <w:spacing w:val="-2"/>
        </w:rPr>
      </w:pPr>
      <w:r>
        <w:rPr>
          <w:rFonts w:hint="eastAsia" w:hAnsi="宋体" w:cs="宋体"/>
          <w:spacing w:val="-2"/>
        </w:rPr>
        <w:t>对鉴定机构的样品库、对比样品和送检样品的记录以及档案等给出相应的要求。与同批下达的P/CIQA-215-</w:t>
      </w:r>
      <w:r>
        <w:rPr>
          <w:rFonts w:hint="eastAsia"/>
          <w:szCs w:val="21"/>
        </w:rPr>
        <w:t>2024</w:t>
      </w:r>
      <w:r>
        <w:rPr>
          <w:rFonts w:hint="eastAsia" w:hAnsi="宋体" w:cs="宋体"/>
          <w:spacing w:val="-2"/>
        </w:rPr>
        <w:t>《品牌消费品鉴定机构及人员管理通用基本规范》中的鉴定机构要求一致。</w:t>
      </w:r>
    </w:p>
    <w:p w14:paraId="7AF76559">
      <w:pPr>
        <w:pStyle w:val="4"/>
        <w:spacing w:before="120" w:after="120"/>
        <w:ind w:firstLine="412"/>
        <w:jc w:val="both"/>
        <w:rPr>
          <w:rFonts w:ascii="宋体" w:hAnsi="宋体" w:cs="宋体"/>
          <w:spacing w:val="-2"/>
          <w:lang w:eastAsia="zh-CN"/>
        </w:rPr>
      </w:pPr>
      <w:r>
        <w:rPr>
          <w:rFonts w:hint="eastAsia" w:ascii="宋体" w:hAnsi="宋体" w:cs="宋体"/>
          <w:spacing w:val="-2"/>
          <w:lang w:eastAsia="zh-CN"/>
        </w:rPr>
        <w:t>3.3.5 鉴定人员</w:t>
      </w:r>
    </w:p>
    <w:p w14:paraId="40B6C469">
      <w:pPr>
        <w:pStyle w:val="13"/>
        <w:ind w:firstLine="199" w:firstLineChars="95"/>
        <w:rPr>
          <w:rFonts w:hAnsi="宋体" w:cs="宋体"/>
          <w:spacing w:val="-2"/>
        </w:rPr>
      </w:pPr>
      <w:r>
        <w:rPr>
          <w:rFonts w:hint="eastAsia"/>
          <w:szCs w:val="21"/>
        </w:rPr>
        <w:t>对鉴定人员的资质</w:t>
      </w:r>
      <w:r>
        <w:rPr>
          <w:rFonts w:hint="eastAsia" w:hAnsi="宋体" w:cs="宋体"/>
          <w:spacing w:val="-2"/>
        </w:rPr>
        <w:t>、工作背景以及鉴定组的组成进行了规范。除与同批下达的P/CIQA-215-2024《品牌消费品鉴定机构及人员管理通用基本规范》中的鉴定人员要求一致。同时加入饰品类鉴定人员特殊要求。</w:t>
      </w:r>
    </w:p>
    <w:p w14:paraId="3451AEA4">
      <w:pPr>
        <w:pStyle w:val="4"/>
        <w:spacing w:before="120" w:after="120"/>
        <w:ind w:firstLine="412"/>
        <w:jc w:val="both"/>
        <w:rPr>
          <w:rFonts w:ascii="宋体" w:hAnsi="宋体" w:cs="宋体"/>
          <w:spacing w:val="-2"/>
          <w:lang w:eastAsia="zh-CN"/>
        </w:rPr>
      </w:pPr>
      <w:r>
        <w:rPr>
          <w:rFonts w:hint="eastAsia" w:ascii="宋体" w:hAnsi="宋体" w:cs="宋体"/>
          <w:spacing w:val="-2"/>
          <w:lang w:eastAsia="zh-CN"/>
        </w:rPr>
        <w:t>3.3.6 仪器与设备</w:t>
      </w:r>
    </w:p>
    <w:p w14:paraId="1D86CD27">
      <w:pPr>
        <w:pStyle w:val="13"/>
        <w:ind w:firstLine="199" w:firstLineChars="95"/>
        <w:rPr>
          <w:rFonts w:hAnsi="宋体" w:cs="宋体"/>
          <w:spacing w:val="-2"/>
        </w:rPr>
      </w:pPr>
      <w:r>
        <w:rPr>
          <w:rFonts w:hint="eastAsia"/>
          <w:szCs w:val="21"/>
        </w:rPr>
        <w:t>根据饰品产品鉴定工作需要</w:t>
      </w:r>
      <w:r>
        <w:rPr>
          <w:rFonts w:hint="eastAsia" w:hAnsi="宋体" w:cs="宋体"/>
          <w:spacing w:val="-2"/>
        </w:rPr>
        <w:t>，规定了饰品鉴定过程中使用仪器和设备的要求。</w:t>
      </w:r>
    </w:p>
    <w:p w14:paraId="3D83471F">
      <w:pPr>
        <w:pStyle w:val="4"/>
        <w:spacing w:before="120" w:after="120"/>
        <w:ind w:firstLine="412"/>
        <w:jc w:val="both"/>
        <w:rPr>
          <w:rFonts w:ascii="宋体" w:hAnsi="宋体" w:cs="宋体"/>
          <w:spacing w:val="-2"/>
          <w:lang w:eastAsia="zh-CN"/>
        </w:rPr>
      </w:pPr>
      <w:r>
        <w:rPr>
          <w:rFonts w:hint="eastAsia" w:ascii="宋体" w:hAnsi="宋体" w:cs="宋体"/>
          <w:spacing w:val="-2"/>
          <w:lang w:eastAsia="zh-CN"/>
        </w:rPr>
        <w:t>3.3.7 鉴定环境</w:t>
      </w:r>
    </w:p>
    <w:p w14:paraId="40B95310">
      <w:pPr>
        <w:pStyle w:val="13"/>
        <w:ind w:firstLine="195" w:firstLineChars="95"/>
        <w:rPr>
          <w:rFonts w:hAnsi="宋体" w:cs="宋体"/>
          <w:spacing w:val="-2"/>
        </w:rPr>
      </w:pPr>
      <w:r>
        <w:rPr>
          <w:rFonts w:hint="eastAsia" w:hAnsi="宋体" w:cs="宋体"/>
          <w:spacing w:val="-2"/>
        </w:rPr>
        <w:t>对鉴定时的环境进行相应的规定，如照明等。本标准中鉴定环境采用ISO/CIE 11664-2:2022中规定的标准光源D65，用于表示相关色温约为6500 K的平均日光。确保照明效果与自然日光相近。显色指数Ra&gt;90，能够真实还原物体的颜色，减少颜色偏差。背景为不反光的灰色或白色。</w:t>
      </w:r>
    </w:p>
    <w:p w14:paraId="390C1BE7">
      <w:pPr>
        <w:pStyle w:val="4"/>
        <w:tabs>
          <w:tab w:val="left" w:pos="3524"/>
        </w:tabs>
        <w:spacing w:before="120" w:after="120"/>
        <w:ind w:firstLine="412"/>
        <w:jc w:val="both"/>
        <w:rPr>
          <w:rFonts w:ascii="宋体" w:hAnsi="宋体" w:cs="宋体"/>
          <w:spacing w:val="-2"/>
          <w:lang w:eastAsia="zh-CN"/>
        </w:rPr>
      </w:pPr>
      <w:r>
        <w:rPr>
          <w:rFonts w:ascii="宋体" w:hAnsi="宋体" w:cs="宋体"/>
          <w:spacing w:val="-2"/>
          <w:lang w:eastAsia="zh-CN"/>
        </w:rPr>
        <w:t xml:space="preserve">3.3.8 </w:t>
      </w:r>
      <w:r>
        <w:rPr>
          <w:rFonts w:hint="eastAsia" w:ascii="宋体" w:hAnsi="宋体" w:cs="宋体"/>
          <w:spacing w:val="-2"/>
          <w:lang w:eastAsia="zh-CN"/>
        </w:rPr>
        <w:t>鉴定程序</w:t>
      </w:r>
    </w:p>
    <w:p w14:paraId="79A532D4">
      <w:pPr>
        <w:ind w:firstLine="419" w:firstLineChars="212"/>
        <w:jc w:val="both"/>
        <w:rPr>
          <w:rFonts w:hAnsi="宋体" w:cs="宋体"/>
          <w:spacing w:val="-6"/>
          <w:lang w:eastAsia="zh-CN"/>
        </w:rPr>
      </w:pPr>
      <w:r>
        <w:rPr>
          <w:rFonts w:hint="eastAsia" w:hAnsi="宋体" w:cs="宋体"/>
          <w:spacing w:val="-6"/>
          <w:lang w:eastAsia="zh-CN"/>
        </w:rPr>
        <w:t>从对比样品的获取、送检样品使用情况分析、送检样品鉴定流程、具体鉴定项目、送检样品综合鉴定意见和结论等步骤依次开展。</w:t>
      </w:r>
    </w:p>
    <w:p w14:paraId="20C13062">
      <w:pPr>
        <w:ind w:firstLine="419" w:firstLineChars="212"/>
        <w:jc w:val="both"/>
        <w:rPr>
          <w:rFonts w:hAnsi="宋体" w:cs="宋体"/>
          <w:spacing w:val="-6"/>
          <w:lang w:eastAsia="zh-CN"/>
        </w:rPr>
      </w:pPr>
      <w:r>
        <w:rPr>
          <w:rFonts w:hint="eastAsia" w:hAnsi="宋体" w:cs="宋体"/>
          <w:spacing w:val="-6"/>
          <w:lang w:eastAsia="zh-CN"/>
        </w:rPr>
        <w:t>鉴定程序根据饰品产品鉴定特点依次进行，如某项出现不符合品牌饰品特征（经实物鉴定）则鉴定程序终止。</w:t>
      </w:r>
    </w:p>
    <w:p w14:paraId="3DD11237">
      <w:pPr>
        <w:ind w:firstLine="419" w:firstLineChars="212"/>
        <w:jc w:val="both"/>
        <w:rPr>
          <w:rFonts w:hAnsi="宋体" w:cs="宋体"/>
          <w:spacing w:val="-6"/>
          <w:lang w:eastAsia="zh-CN"/>
        </w:rPr>
      </w:pPr>
      <w:r>
        <w:rPr>
          <w:rFonts w:hint="eastAsia" w:hAnsi="宋体" w:cs="宋体"/>
          <w:spacing w:val="-6"/>
          <w:lang w:eastAsia="zh-CN"/>
        </w:rPr>
        <w:t>送检样品综合鉴定意见及结论根据所有检测项目结论综合得出。</w:t>
      </w:r>
    </w:p>
    <w:p w14:paraId="7B040E0A">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如系修订标准，新旧标准水平的对比</w:t>
      </w:r>
    </w:p>
    <w:p w14:paraId="5C03FD9D">
      <w:pPr>
        <w:ind w:firstLine="419" w:firstLineChars="212"/>
        <w:jc w:val="both"/>
        <w:rPr>
          <w:rFonts w:hAnsi="宋体" w:cs="宋体"/>
          <w:spacing w:val="-6"/>
          <w:lang w:eastAsia="zh-CN"/>
        </w:rPr>
      </w:pPr>
      <w:r>
        <w:rPr>
          <w:rFonts w:hint="eastAsia" w:hAnsi="宋体" w:cs="宋体"/>
          <w:spacing w:val="-6"/>
          <w:lang w:eastAsia="zh-CN"/>
        </w:rPr>
        <w:t>本标准为制定标准。</w:t>
      </w:r>
    </w:p>
    <w:p w14:paraId="75ABD1E1">
      <w:pPr>
        <w:ind w:firstLine="419" w:firstLineChars="212"/>
        <w:jc w:val="both"/>
        <w:rPr>
          <w:rFonts w:hAnsi="宋体" w:cs="宋体"/>
          <w:spacing w:val="-6"/>
          <w:lang w:eastAsia="zh-CN"/>
        </w:rPr>
      </w:pPr>
    </w:p>
    <w:p w14:paraId="0B651D56">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主要试验（或验证）情况分析</w:t>
      </w:r>
    </w:p>
    <w:p w14:paraId="5D70262A">
      <w:pPr>
        <w:ind w:firstLine="420"/>
        <w:rPr>
          <w:lang w:eastAsia="zh-CN"/>
        </w:rPr>
      </w:pPr>
      <w:r>
        <w:rPr>
          <w:rFonts w:hint="eastAsia"/>
          <w:lang w:eastAsia="zh-CN"/>
        </w:rPr>
        <w:t>经过起草单位的验证，本文件中的主要内容具有可行性、可操作性。同时能够提高相关工作的规范性和科学性以及工作效率。</w:t>
      </w:r>
    </w:p>
    <w:p w14:paraId="1E586504">
      <w:pPr>
        <w:pStyle w:val="2"/>
        <w:numPr>
          <w:ilvl w:val="0"/>
          <w:numId w:val="3"/>
        </w:numPr>
        <w:ind w:firstLineChars="0"/>
        <w:rPr>
          <w:rFonts w:ascii="黑体" w:hAnsi="黑体" w:cs="黑体"/>
          <w:bCs/>
          <w:spacing w:val="-8"/>
          <w:sz w:val="24"/>
          <w:szCs w:val="24"/>
          <w:lang w:eastAsia="zh-CN"/>
        </w:rPr>
      </w:pPr>
      <w:bookmarkStart w:id="6" w:name="_Toc19973"/>
      <w:r>
        <w:rPr>
          <w:rFonts w:hint="eastAsia" w:ascii="黑体" w:hAnsi="黑体" w:cs="黑体"/>
          <w:bCs/>
          <w:spacing w:val="-8"/>
          <w:sz w:val="24"/>
          <w:szCs w:val="24"/>
          <w:lang w:eastAsia="zh-CN"/>
        </w:rPr>
        <w:t>是否填补标准空白</w:t>
      </w:r>
    </w:p>
    <w:p w14:paraId="1BD3A82B">
      <w:pPr>
        <w:ind w:firstLine="420"/>
        <w:rPr>
          <w:lang w:eastAsia="zh-CN"/>
        </w:rPr>
      </w:pPr>
      <w:r>
        <w:rPr>
          <w:rFonts w:hint="eastAsia"/>
          <w:lang w:eastAsia="zh-CN"/>
        </w:rPr>
        <w:t>经查询，在国内外未查询到《品牌鞋服鉴定通用技术规范》相关标准，在品牌鞋服鉴定领域填补了标准空白。</w:t>
      </w:r>
    </w:p>
    <w:p w14:paraId="20D2EB34">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采用国际标准的程度</w:t>
      </w:r>
    </w:p>
    <w:p w14:paraId="0429E388">
      <w:pPr>
        <w:ind w:firstLine="420"/>
        <w:rPr>
          <w:lang w:eastAsia="zh-CN"/>
        </w:rPr>
      </w:pPr>
      <w:r>
        <w:rPr>
          <w:rFonts w:hint="eastAsia"/>
          <w:lang w:eastAsia="zh-CN"/>
        </w:rPr>
        <w:t>本标准未采用国际标准。</w:t>
      </w:r>
    </w:p>
    <w:p w14:paraId="031BFBE6">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与现行法律法规的关系</w:t>
      </w:r>
    </w:p>
    <w:p w14:paraId="6EB31189">
      <w:pPr>
        <w:ind w:firstLine="420"/>
        <w:rPr>
          <w:lang w:eastAsia="zh-CN"/>
        </w:rPr>
      </w:pPr>
      <w:r>
        <w:rPr>
          <w:rFonts w:hint="eastAsia"/>
          <w:lang w:eastAsia="zh-CN"/>
        </w:rPr>
        <w:t>符合。</w:t>
      </w:r>
    </w:p>
    <w:p w14:paraId="3BD42AFE">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标准技术要求不低于强制性国家标准相关要求的说明</w:t>
      </w:r>
    </w:p>
    <w:p w14:paraId="599BEF6E">
      <w:pPr>
        <w:ind w:firstLine="399" w:firstLineChars="190"/>
        <w:rPr>
          <w:lang w:eastAsia="zh-CN"/>
        </w:rPr>
      </w:pPr>
      <w:r>
        <w:rPr>
          <w:rFonts w:hint="eastAsia"/>
          <w:lang w:eastAsia="zh-CN"/>
        </w:rPr>
        <w:t>通过关键词“鉴定”在国家全文公开系统上查询，共有1</w:t>
      </w:r>
      <w:r>
        <w:rPr>
          <w:lang w:eastAsia="zh-CN"/>
        </w:rPr>
        <w:t>8</w:t>
      </w:r>
      <w:r>
        <w:rPr>
          <w:rFonts w:hint="eastAsia"/>
          <w:lang w:eastAsia="zh-CN"/>
        </w:rPr>
        <w:t>项强制性国家标准。但本领域中没有相关强制性国家标准。</w:t>
      </w:r>
    </w:p>
    <w:p w14:paraId="672BC08D">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技术要求高于推荐性国家标准相关要求的情况</w:t>
      </w:r>
    </w:p>
    <w:p w14:paraId="010E422A">
      <w:pPr>
        <w:ind w:firstLine="399" w:firstLineChars="190"/>
        <w:rPr>
          <w:lang w:eastAsia="zh-CN"/>
        </w:rPr>
      </w:pPr>
      <w:r>
        <w:rPr>
          <w:rFonts w:hint="eastAsia"/>
          <w:lang w:eastAsia="zh-CN"/>
        </w:rPr>
        <w:t>通过关键词“鉴定”在国家全文公开系统上查询，共有</w:t>
      </w:r>
      <w:r>
        <w:rPr>
          <w:lang w:eastAsia="zh-CN"/>
        </w:rPr>
        <w:t>400</w:t>
      </w:r>
      <w:r>
        <w:rPr>
          <w:rFonts w:hint="eastAsia"/>
          <w:lang w:eastAsia="zh-CN"/>
        </w:rPr>
        <w:t>项推荐性国家标准。但本领域中没有相关推荐性国家标准。</w:t>
      </w:r>
    </w:p>
    <w:p w14:paraId="6EADF9A6">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标准编制经费预算及承担/分摊单位</w:t>
      </w:r>
    </w:p>
    <w:p w14:paraId="7C4DE136">
      <w:pPr>
        <w:ind w:firstLine="399" w:firstLineChars="190"/>
        <w:rPr>
          <w:lang w:eastAsia="zh-CN"/>
        </w:rPr>
      </w:pPr>
      <w:r>
        <w:rPr>
          <w:rFonts w:hint="eastAsia"/>
          <w:lang w:eastAsia="zh-CN"/>
        </w:rPr>
        <w:t>中国海关科学技术研究中心</w:t>
      </w:r>
    </w:p>
    <w:p w14:paraId="3ABA3873">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其他应予说明的事项</w:t>
      </w:r>
    </w:p>
    <w:p w14:paraId="714C2EEC">
      <w:pPr>
        <w:pStyle w:val="3"/>
        <w:ind w:firstLine="402"/>
        <w:rPr>
          <w:rFonts w:ascii="黑体" w:hAnsi="黑体" w:cs="黑体"/>
          <w:spacing w:val="-5"/>
          <w:lang w:eastAsia="zh-CN"/>
        </w:rPr>
      </w:pPr>
      <w:r>
        <w:rPr>
          <w:rFonts w:hint="eastAsia" w:ascii="黑体" w:hAnsi="黑体" w:cs="黑体"/>
          <w:spacing w:val="-5"/>
          <w:lang w:eastAsia="zh-CN"/>
        </w:rPr>
        <w:t>1</w:t>
      </w:r>
      <w:r>
        <w:rPr>
          <w:rFonts w:ascii="黑体" w:hAnsi="黑体" w:cs="黑体"/>
          <w:spacing w:val="-5"/>
          <w:lang w:eastAsia="zh-CN"/>
        </w:rPr>
        <w:t xml:space="preserve">2.1 </w:t>
      </w:r>
      <w:r>
        <w:rPr>
          <w:rFonts w:hint="eastAsia" w:ascii="黑体" w:hAnsi="黑体" w:cs="黑体"/>
          <w:spacing w:val="-5"/>
          <w:lang w:eastAsia="zh-CN"/>
        </w:rPr>
        <w:t>本文件不涉及专利问题。</w:t>
      </w:r>
    </w:p>
    <w:p w14:paraId="33447593">
      <w:pPr>
        <w:pStyle w:val="3"/>
        <w:ind w:firstLine="402"/>
        <w:rPr>
          <w:rFonts w:ascii="黑体" w:hAnsi="黑体" w:cs="黑体"/>
          <w:spacing w:val="-5"/>
          <w:lang w:eastAsia="zh-CN"/>
        </w:rPr>
      </w:pPr>
      <w:r>
        <w:rPr>
          <w:rFonts w:hint="eastAsia" w:ascii="黑体" w:hAnsi="黑体" w:cs="黑体"/>
          <w:spacing w:val="-5"/>
          <w:lang w:eastAsia="zh-CN"/>
        </w:rPr>
        <w:t>1</w:t>
      </w:r>
      <w:r>
        <w:rPr>
          <w:rFonts w:ascii="黑体" w:hAnsi="黑体" w:cs="黑体"/>
          <w:spacing w:val="-5"/>
          <w:lang w:eastAsia="zh-CN"/>
        </w:rPr>
        <w:t xml:space="preserve">2.2 </w:t>
      </w:r>
      <w:r>
        <w:rPr>
          <w:rFonts w:hint="eastAsia" w:ascii="黑体" w:hAnsi="黑体" w:cs="黑体"/>
          <w:spacing w:val="-5"/>
          <w:lang w:eastAsia="zh-CN"/>
        </w:rPr>
        <w:t>预期达到的社会效益、对产业发展的作用</w:t>
      </w:r>
    </w:p>
    <w:p w14:paraId="1892039C">
      <w:pPr>
        <w:ind w:firstLine="420"/>
        <w:rPr>
          <w:lang w:eastAsia="zh-CN"/>
        </w:rPr>
      </w:pPr>
      <w:r>
        <w:rPr>
          <w:rFonts w:hint="eastAsia"/>
          <w:lang w:eastAsia="zh-CN"/>
        </w:rPr>
        <w:t>这一文件的发布与实施填补了品牌饰品真伪鉴定标准的空白，实现了从无到有、从主观到客观、从自律到他律的历史性突破。《品牌饰品鉴定通用技术规范》的出台对行业有指导作用主要体现如下：</w:t>
      </w:r>
    </w:p>
    <w:p w14:paraId="441BCECD">
      <w:pPr>
        <w:ind w:firstLine="420"/>
        <w:rPr>
          <w:lang w:eastAsia="zh-CN"/>
        </w:rPr>
      </w:pPr>
      <w:r>
        <w:rPr>
          <w:rFonts w:hint="eastAsia"/>
          <w:lang w:eastAsia="zh-CN"/>
        </w:rPr>
        <w:t>（1）提升鉴定工作准确性和权威性</w:t>
      </w:r>
    </w:p>
    <w:p w14:paraId="1A58576D">
      <w:pPr>
        <w:ind w:firstLine="420"/>
        <w:rPr>
          <w:lang w:eastAsia="zh-CN"/>
        </w:rPr>
      </w:pPr>
      <w:r>
        <w:rPr>
          <w:rFonts w:hint="eastAsia"/>
          <w:lang w:eastAsia="zh-CN"/>
        </w:rPr>
        <w:t>本文件为鉴定工作提供了统一的技术语言和规范，从而显著提升了鉴定的准确性和权威性。这有助于减少因不同鉴定机构或个人主观判断而产生的差异，使得鉴定结果更加客观、公正。有效推动中国品牌饰品鉴定诚信体系标准化建设，积极引领品牌饰品鉴定行业流向规范化、标准化时代迈进。</w:t>
      </w:r>
    </w:p>
    <w:p w14:paraId="3037760C">
      <w:pPr>
        <w:ind w:firstLine="420"/>
        <w:rPr>
          <w:lang w:eastAsia="zh-CN"/>
        </w:rPr>
      </w:pPr>
      <w:r>
        <w:rPr>
          <w:rFonts w:hint="eastAsia"/>
          <w:lang w:eastAsia="zh-CN"/>
        </w:rPr>
        <w:t>（2）保障消费者权益</w:t>
      </w:r>
    </w:p>
    <w:p w14:paraId="191DA752">
      <w:pPr>
        <w:ind w:firstLine="420"/>
        <w:rPr>
          <w:lang w:eastAsia="zh-CN"/>
        </w:rPr>
      </w:pPr>
      <w:r>
        <w:rPr>
          <w:rFonts w:hint="eastAsia"/>
          <w:lang w:eastAsia="zh-CN"/>
        </w:rPr>
        <w:t>本文件为消费者提供了更加可靠的鉴定服务，有助于保障消费者的合法权益。在奢侈品交易中，消费者往往面临鱼龙混杂、真假难辨的现象，而鉴定标准的出台使得消费者可以更加准确地判断商品的真伪，避免购买到假冒伪劣产品。同时，这也为消费者在维权时提供了有力的技术支撑。</w:t>
      </w:r>
    </w:p>
    <w:p w14:paraId="0BEBE85E">
      <w:pPr>
        <w:ind w:firstLine="420"/>
        <w:rPr>
          <w:lang w:eastAsia="zh-CN"/>
        </w:rPr>
      </w:pPr>
      <w:r>
        <w:rPr>
          <w:rFonts w:hint="eastAsia"/>
          <w:lang w:eastAsia="zh-CN"/>
        </w:rPr>
        <w:t>（3）推动鉴定行业规范化发展</w:t>
      </w:r>
    </w:p>
    <w:p w14:paraId="0BB6A45F">
      <w:pPr>
        <w:ind w:firstLine="420"/>
        <w:rPr>
          <w:lang w:eastAsia="zh-CN"/>
        </w:rPr>
      </w:pPr>
      <w:r>
        <w:rPr>
          <w:rFonts w:hint="eastAsia"/>
          <w:lang w:eastAsia="zh-CN"/>
        </w:rPr>
        <w:t>本文件有助于推动鉴定行业的规范化发展。通过制定统一的鉴定标准和流程，可以规范鉴定机构的行为，提高行业的整体服务水平。将有助于中国的品牌饰品鉴定行业逐渐规范化和标准化发展，为今后整个品牌饰品鉴定行业奠定了基础。本文件同时也为今后其他类型产品的鉴定通用技术规范标准的制定提供了借鉴。</w:t>
      </w:r>
    </w:p>
    <w:p w14:paraId="739859FB">
      <w:pPr>
        <w:ind w:firstLine="420"/>
        <w:rPr>
          <w:lang w:eastAsia="zh-CN"/>
        </w:rPr>
      </w:pPr>
      <w:r>
        <w:rPr>
          <w:rFonts w:hint="eastAsia"/>
          <w:lang w:eastAsia="zh-CN"/>
        </w:rPr>
        <w:t>（4）促进电商市场规范发展</w:t>
      </w:r>
    </w:p>
    <w:p w14:paraId="7730B9EA">
      <w:pPr>
        <w:ind w:firstLine="420"/>
        <w:rPr>
          <w:lang w:eastAsia="zh-CN"/>
        </w:rPr>
      </w:pPr>
      <w:r>
        <w:rPr>
          <w:rFonts w:hint="eastAsia"/>
          <w:lang w:eastAsia="zh-CN"/>
        </w:rPr>
        <w:t>随着电商市场的快速发展，越来越多的消费者选择在线上购买品牌饰品。然而，线上交易存在信息不对称、商品真伪难辨等问题。本文件可以为电商市场提供更加可靠的鉴定服务，有助于解决这些问题，促进电商市场的规范发展。</w:t>
      </w:r>
    </w:p>
    <w:p w14:paraId="4DF2D4AA">
      <w:pPr>
        <w:ind w:firstLine="420"/>
        <w:rPr>
          <w:lang w:eastAsia="zh-CN"/>
        </w:rPr>
      </w:pPr>
      <w:r>
        <w:rPr>
          <w:rFonts w:hint="eastAsia"/>
          <w:lang w:eastAsia="zh-CN"/>
        </w:rPr>
        <w:t>（5）提高鉴定行业专业水平</w:t>
      </w:r>
    </w:p>
    <w:p w14:paraId="0498D89C">
      <w:pPr>
        <w:ind w:firstLine="420"/>
        <w:rPr>
          <w:lang w:eastAsia="zh-CN"/>
        </w:rPr>
      </w:pPr>
      <w:r>
        <w:rPr>
          <w:rFonts w:hint="eastAsia"/>
          <w:lang w:eastAsia="zh-CN"/>
        </w:rPr>
        <w:t>本文件还可以提高行业的专业水平。通过制定统一的鉴定标准和培训鉴定师，可以提高鉴定师的专业技能和鉴定水平，使得整个行业更加专业、规范。同时，这也有助于提升消费者对行业的信任度和满意度。</w:t>
      </w:r>
    </w:p>
    <w:p w14:paraId="1AE79E7B">
      <w:pPr>
        <w:ind w:firstLine="420"/>
        <w:rPr>
          <w:lang w:eastAsia="zh-CN"/>
        </w:rPr>
      </w:pPr>
      <w:r>
        <w:rPr>
          <w:rFonts w:hint="eastAsia"/>
          <w:lang w:eastAsia="zh-CN"/>
        </w:rPr>
        <w:t>综上所述，《品牌饰品鉴定通用技术规范》的出台为行业带来了多方面的显著效益，包括提升鉴定准确性和权威性、保障消费者权益、推动行业规范化发展、促进电商市场规范发展以及提高行业专业水平等。这些效益将有助于推动奢侈品行业的持续健康发展。此外，鉴定标准的出台还可以促进品牌饰品市场的公平竞争，减少不正当竞争行为的发生，从而推动行业的健康发展。</w:t>
      </w:r>
    </w:p>
    <w:bookmarkEnd w:id="6"/>
    <w:p w14:paraId="599A613E">
      <w:pPr>
        <w:pStyle w:val="3"/>
        <w:ind w:firstLine="402"/>
        <w:rPr>
          <w:rFonts w:ascii="黑体" w:hAnsi="黑体" w:cs="黑体"/>
          <w:spacing w:val="-5"/>
          <w:lang w:eastAsia="zh-CN"/>
        </w:rPr>
      </w:pPr>
      <w:r>
        <w:rPr>
          <w:rFonts w:hint="eastAsia" w:ascii="黑体" w:hAnsi="黑体" w:cs="黑体"/>
          <w:spacing w:val="-5"/>
          <w:lang w:eastAsia="zh-CN"/>
        </w:rPr>
        <w:t>12.3 贯彻标准要求和措施建议</w:t>
      </w:r>
    </w:p>
    <w:p w14:paraId="70706F2C">
      <w:pPr>
        <w:ind w:firstLine="408"/>
        <w:jc w:val="both"/>
        <w:rPr>
          <w:rFonts w:ascii="宋体" w:hAnsi="宋体" w:cs="宋体"/>
          <w:lang w:eastAsia="zh-CN"/>
        </w:rPr>
      </w:pPr>
      <w:r>
        <w:rPr>
          <w:rFonts w:hint="eastAsia" w:ascii="宋体" w:hAnsi="宋体" w:cs="宋体"/>
          <w:spacing w:val="-3"/>
          <w:lang w:eastAsia="zh-CN"/>
        </w:rPr>
        <w:t>标准正式发布后</w:t>
      </w:r>
      <w:r>
        <w:rPr>
          <w:rFonts w:hint="eastAsia" w:ascii="宋体" w:hAnsi="宋体" w:cs="宋体"/>
          <w:spacing w:val="-13"/>
          <w:lang w:eastAsia="zh-CN"/>
        </w:rPr>
        <w:t>，</w:t>
      </w:r>
      <w:r>
        <w:rPr>
          <w:rFonts w:hint="eastAsia" w:ascii="宋体" w:hAnsi="宋体" w:cs="宋体"/>
          <w:spacing w:val="-3"/>
          <w:lang w:eastAsia="zh-CN"/>
        </w:rPr>
        <w:t>在有关标准监管部门指导下，拟采取的标准宣贯工作计</w:t>
      </w:r>
      <w:r>
        <w:rPr>
          <w:rFonts w:hint="eastAsia" w:ascii="宋体" w:hAnsi="宋体" w:cs="宋体"/>
          <w:spacing w:val="-9"/>
          <w:lang w:eastAsia="zh-CN"/>
        </w:rPr>
        <w:t>划如下：</w:t>
      </w:r>
    </w:p>
    <w:p w14:paraId="19A8B514">
      <w:pPr>
        <w:jc w:val="both"/>
        <w:rPr>
          <w:rFonts w:ascii="宋体" w:hAnsi="宋体" w:cs="宋体"/>
          <w:lang w:eastAsia="zh-CN"/>
        </w:rPr>
      </w:pPr>
      <w:r>
        <w:rPr>
          <w:rFonts w:hint="eastAsia" w:ascii="宋体" w:hAnsi="宋体" w:cs="宋体"/>
          <w:spacing w:val="-5"/>
          <w:lang w:eastAsia="zh-CN"/>
        </w:rPr>
        <w:t>（1）标准宣传推广。借助网站新闻</w:t>
      </w:r>
      <w:r>
        <w:rPr>
          <w:rFonts w:hint="eastAsia" w:ascii="宋体" w:hAnsi="宋体" w:cs="宋体"/>
          <w:spacing w:val="-42"/>
          <w:lang w:eastAsia="zh-CN"/>
        </w:rPr>
        <w:t xml:space="preserve"> </w:t>
      </w:r>
      <w:r>
        <w:rPr>
          <w:rFonts w:hint="eastAsia" w:ascii="宋体" w:hAnsi="宋体" w:cs="宋体"/>
          <w:spacing w:val="-5"/>
          <w:lang w:eastAsia="zh-CN"/>
        </w:rPr>
        <w:t>、行业</w:t>
      </w:r>
      <w:r>
        <w:rPr>
          <w:rFonts w:hint="eastAsia" w:ascii="宋体" w:hAnsi="宋体" w:cs="宋体"/>
          <w:spacing w:val="-6"/>
          <w:lang w:eastAsia="zh-CN"/>
        </w:rPr>
        <w:t>协会</w:t>
      </w:r>
      <w:r>
        <w:rPr>
          <w:rFonts w:hint="eastAsia" w:ascii="宋体" w:hAnsi="宋体" w:cs="宋体"/>
          <w:spacing w:val="-41"/>
          <w:lang w:eastAsia="zh-CN"/>
        </w:rPr>
        <w:t xml:space="preserve"> 、</w:t>
      </w:r>
      <w:r>
        <w:rPr>
          <w:rFonts w:hint="eastAsia" w:ascii="宋体" w:hAnsi="宋体" w:cs="宋体"/>
          <w:spacing w:val="-6"/>
          <w:lang w:eastAsia="zh-CN"/>
        </w:rPr>
        <w:t>学会会议、杂志文章等多</w:t>
      </w:r>
      <w:r>
        <w:rPr>
          <w:rFonts w:hint="eastAsia" w:ascii="宋体" w:hAnsi="宋体" w:cs="宋体"/>
          <w:spacing w:val="-3"/>
          <w:lang w:eastAsia="zh-CN"/>
        </w:rPr>
        <w:t>种形式推广宣传标准。</w:t>
      </w:r>
    </w:p>
    <w:p w14:paraId="37B718D9">
      <w:pPr>
        <w:ind w:firstLine="408"/>
        <w:jc w:val="both"/>
        <w:rPr>
          <w:rFonts w:ascii="宋体" w:hAnsi="宋体" w:cs="宋体"/>
          <w:lang w:eastAsia="zh-CN"/>
        </w:rPr>
      </w:pPr>
      <w:r>
        <w:rPr>
          <w:rFonts w:hint="eastAsia" w:ascii="宋体" w:hAnsi="宋体" w:cs="宋体"/>
          <w:spacing w:val="-3"/>
          <w:lang w:eastAsia="zh-CN"/>
        </w:rPr>
        <w:t>（2）制作标准培训材料。根据标准应用项目实施情况，对标准每一部分进</w:t>
      </w:r>
      <w:r>
        <w:rPr>
          <w:rFonts w:hint="eastAsia" w:ascii="宋体" w:hAnsi="宋体" w:cs="宋体"/>
          <w:spacing w:val="-4"/>
          <w:lang w:eastAsia="zh-CN"/>
        </w:rPr>
        <w:t>行详细解释说明，形成标准宣贯实施培训材料。</w:t>
      </w:r>
    </w:p>
    <w:p w14:paraId="6F76F827">
      <w:pPr>
        <w:ind w:firstLine="404"/>
        <w:jc w:val="both"/>
        <w:rPr>
          <w:rFonts w:ascii="宋体" w:hAnsi="宋体" w:cs="宋体"/>
          <w:lang w:eastAsia="zh-CN"/>
        </w:rPr>
      </w:pPr>
      <w:r>
        <w:rPr>
          <w:rFonts w:hint="eastAsia" w:ascii="宋体" w:hAnsi="宋体" w:cs="宋体"/>
          <w:spacing w:val="-4"/>
          <w:lang w:eastAsia="zh-CN"/>
        </w:rPr>
        <w:t>（3）制定标准培训计划。</w:t>
      </w:r>
      <w:r>
        <w:rPr>
          <w:rFonts w:hint="eastAsia" w:ascii="宋体" w:hAnsi="宋体" w:cs="宋体"/>
          <w:spacing w:val="-47"/>
          <w:lang w:eastAsia="zh-CN"/>
        </w:rPr>
        <w:t xml:space="preserve"> </w:t>
      </w:r>
      <w:r>
        <w:rPr>
          <w:rFonts w:hint="eastAsia" w:ascii="宋体" w:hAnsi="宋体" w:cs="宋体"/>
          <w:spacing w:val="-4"/>
          <w:lang w:eastAsia="zh-CN"/>
        </w:rPr>
        <w:t>制定切实可行的工作方案和培训计划，采取有力</w:t>
      </w:r>
      <w:r>
        <w:rPr>
          <w:rFonts w:hint="eastAsia" w:ascii="宋体" w:hAnsi="宋体" w:cs="宋体"/>
          <w:spacing w:val="-7"/>
          <w:lang w:eastAsia="zh-CN"/>
        </w:rPr>
        <w:t>措施，多渠道</w:t>
      </w:r>
      <w:r>
        <w:rPr>
          <w:rFonts w:hint="eastAsia" w:ascii="宋体" w:hAnsi="宋体" w:cs="宋体"/>
          <w:spacing w:val="-42"/>
          <w:lang w:eastAsia="zh-CN"/>
        </w:rPr>
        <w:t>、</w:t>
      </w:r>
      <w:r>
        <w:rPr>
          <w:rFonts w:hint="eastAsia" w:ascii="宋体" w:hAnsi="宋体" w:cs="宋体"/>
          <w:spacing w:val="-7"/>
          <w:lang w:eastAsia="zh-CN"/>
        </w:rPr>
        <w:t>多形式地开展标准宣贯培训。</w:t>
      </w:r>
    </w:p>
    <w:p w14:paraId="467DF787">
      <w:pPr>
        <w:ind w:firstLine="416"/>
        <w:jc w:val="both"/>
        <w:rPr>
          <w:rFonts w:ascii="宋体" w:hAnsi="宋体" w:cs="宋体"/>
          <w:lang w:eastAsia="zh-CN"/>
        </w:rPr>
      </w:pPr>
      <w:r>
        <w:rPr>
          <w:rFonts w:hint="eastAsia" w:ascii="宋体" w:hAnsi="宋体" w:cs="宋体"/>
          <w:spacing w:val="-1"/>
          <w:lang w:eastAsia="zh-CN"/>
        </w:rPr>
        <w:t>（4）开办标准宣贯培训班</w:t>
      </w:r>
      <w:r>
        <w:rPr>
          <w:rFonts w:hint="eastAsia" w:ascii="宋体" w:hAnsi="宋体" w:cs="宋体"/>
          <w:spacing w:val="-33"/>
          <w:lang w:eastAsia="zh-CN"/>
        </w:rPr>
        <w:t>。</w:t>
      </w:r>
      <w:r>
        <w:rPr>
          <w:rFonts w:hint="eastAsia" w:ascii="宋体" w:hAnsi="宋体" w:cs="宋体"/>
          <w:spacing w:val="-1"/>
          <w:lang w:eastAsia="zh-CN"/>
        </w:rPr>
        <w:t>标准化技术机</w:t>
      </w:r>
      <w:r>
        <w:rPr>
          <w:rFonts w:hint="eastAsia" w:ascii="宋体" w:hAnsi="宋体" w:cs="宋体"/>
          <w:spacing w:val="-2"/>
          <w:lang w:eastAsia="zh-CN"/>
        </w:rPr>
        <w:t>构和行业协会组织项目研究和项</w:t>
      </w:r>
      <w:r>
        <w:rPr>
          <w:rFonts w:hint="eastAsia" w:ascii="宋体" w:hAnsi="宋体" w:cs="宋体"/>
          <w:spacing w:val="-7"/>
          <w:lang w:eastAsia="zh-CN"/>
        </w:rPr>
        <w:t>目实施单位，召开标准宣贯培训班，推广标准实施。</w:t>
      </w:r>
    </w:p>
    <w:p w14:paraId="1F714725">
      <w:pPr>
        <w:ind w:firstLine="384"/>
        <w:jc w:val="both"/>
        <w:rPr>
          <w:rFonts w:ascii="宋体" w:hAnsi="宋体" w:cs="宋体"/>
          <w:lang w:eastAsia="zh-CN"/>
        </w:rPr>
      </w:pPr>
      <w:r>
        <w:rPr>
          <w:rFonts w:hint="eastAsia" w:ascii="宋体" w:hAnsi="宋体" w:cs="宋体"/>
          <w:spacing w:val="-9"/>
          <w:lang w:eastAsia="zh-CN"/>
        </w:rPr>
        <w:t>（5）总结标准实施</w:t>
      </w:r>
      <w:r>
        <w:rPr>
          <w:rFonts w:hint="eastAsia" w:ascii="宋体" w:hAnsi="宋体" w:cs="宋体"/>
          <w:spacing w:val="-42"/>
          <w:lang w:eastAsia="zh-CN"/>
        </w:rPr>
        <w:t xml:space="preserve"> 、</w:t>
      </w:r>
      <w:r>
        <w:rPr>
          <w:rFonts w:hint="eastAsia" w:ascii="宋体" w:hAnsi="宋体" w:cs="宋体"/>
          <w:spacing w:val="-9"/>
          <w:lang w:eastAsia="zh-CN"/>
        </w:rPr>
        <w:t>宣贯经验。</w:t>
      </w:r>
    </w:p>
    <w:p w14:paraId="7D8B93B1">
      <w:pPr>
        <w:pStyle w:val="3"/>
        <w:ind w:firstLine="402"/>
        <w:rPr>
          <w:rFonts w:ascii="黑体" w:hAnsi="黑体" w:cs="黑体"/>
          <w:spacing w:val="-5"/>
          <w:lang w:eastAsia="zh-CN"/>
        </w:rPr>
      </w:pPr>
      <w:bookmarkStart w:id="7" w:name="_Toc15369"/>
      <w:r>
        <w:rPr>
          <w:rFonts w:hint="eastAsia" w:ascii="黑体" w:hAnsi="黑体" w:cs="黑体"/>
          <w:spacing w:val="-5"/>
          <w:lang w:eastAsia="zh-CN"/>
        </w:rPr>
        <w:t>1</w:t>
      </w:r>
      <w:r>
        <w:rPr>
          <w:rFonts w:ascii="黑体" w:hAnsi="黑体" w:cs="黑体"/>
          <w:spacing w:val="-5"/>
          <w:lang w:eastAsia="zh-CN"/>
        </w:rPr>
        <w:t xml:space="preserve">2.4 </w:t>
      </w:r>
      <w:bookmarkEnd w:id="7"/>
      <w:bookmarkStart w:id="8" w:name="_Toc26189"/>
      <w:r>
        <w:rPr>
          <w:rFonts w:hint="eastAsia" w:ascii="黑体" w:hAnsi="黑体" w:cs="黑体"/>
          <w:spacing w:val="-5"/>
          <w:lang w:eastAsia="zh-CN"/>
        </w:rPr>
        <w:t>主要参考资料</w:t>
      </w:r>
      <w:bookmarkEnd w:id="8"/>
    </w:p>
    <w:p w14:paraId="7109586F">
      <w:pPr>
        <w:ind w:firstLine="420"/>
        <w:rPr>
          <w:rFonts w:ascii="宋体" w:hAnsi="宋体" w:cs="宋体"/>
          <w:lang w:eastAsia="zh-CN"/>
        </w:rPr>
      </w:pPr>
      <w:r>
        <w:rPr>
          <w:rFonts w:hint="eastAsia" w:ascii="宋体" w:hAnsi="宋体" w:cs="宋体"/>
          <w:lang w:eastAsia="zh-CN"/>
        </w:rPr>
        <w:t>[1]  GB/T 28748-2012 珠宝玉石饰品产品元数据</w:t>
      </w:r>
    </w:p>
    <w:p w14:paraId="46214EA4">
      <w:pPr>
        <w:ind w:firstLine="420"/>
        <w:rPr>
          <w:rFonts w:ascii="宋体" w:hAnsi="宋体" w:cs="宋体"/>
          <w:lang w:eastAsia="zh-CN"/>
        </w:rPr>
      </w:pPr>
      <w:r>
        <w:rPr>
          <w:rFonts w:hint="eastAsia" w:ascii="宋体" w:hAnsi="宋体" w:cs="宋体"/>
          <w:lang w:eastAsia="zh-CN"/>
        </w:rPr>
        <w:t>[2]  GB/T 31108-2014 首饰镶嵌工艺信息分类与代码</w:t>
      </w:r>
    </w:p>
    <w:p w14:paraId="6CBD31A4">
      <w:pPr>
        <w:ind w:firstLine="420"/>
        <w:rPr>
          <w:rFonts w:ascii="宋体" w:hAnsi="宋体" w:cs="宋体"/>
          <w:lang w:eastAsia="zh-CN"/>
        </w:rPr>
      </w:pPr>
      <w:r>
        <w:rPr>
          <w:rFonts w:hint="eastAsia" w:ascii="宋体" w:hAnsi="宋体" w:cs="宋体"/>
          <w:lang w:eastAsia="zh-CN"/>
        </w:rPr>
        <w:t>[3]  GB/T 31912-2015 饰品 标识</w:t>
      </w:r>
    </w:p>
    <w:p w14:paraId="6E900B9D">
      <w:pPr>
        <w:ind w:firstLine="420"/>
        <w:rPr>
          <w:rFonts w:ascii="宋体" w:hAnsi="宋体" w:cs="宋体"/>
          <w:lang w:eastAsia="zh-CN"/>
        </w:rPr>
      </w:pPr>
      <w:r>
        <w:rPr>
          <w:rFonts w:hint="eastAsia" w:ascii="宋体" w:hAnsi="宋体" w:cs="宋体"/>
          <w:lang w:eastAsia="zh-CN"/>
        </w:rPr>
        <w:t>[4]  GB/T 32022-2015 贵金属覆盖层饰品</w:t>
      </w:r>
    </w:p>
    <w:p w14:paraId="38170E23">
      <w:pPr>
        <w:ind w:firstLine="420"/>
        <w:rPr>
          <w:rFonts w:ascii="宋体" w:hAnsi="宋体" w:cs="宋体"/>
          <w:lang w:eastAsia="zh-CN"/>
        </w:rPr>
      </w:pPr>
      <w:r>
        <w:rPr>
          <w:rFonts w:hint="eastAsia" w:ascii="宋体" w:hAnsi="宋体" w:cs="宋体"/>
          <w:lang w:eastAsia="zh-CN"/>
        </w:rPr>
        <w:t>[5]  GB/T 34098-2017 石英质玉 分类与定名</w:t>
      </w:r>
    </w:p>
    <w:p w14:paraId="64F3BDAD">
      <w:pPr>
        <w:ind w:firstLine="420"/>
        <w:rPr>
          <w:rFonts w:ascii="宋体" w:hAnsi="宋体" w:cs="宋体"/>
          <w:lang w:eastAsia="zh-CN"/>
        </w:rPr>
      </w:pPr>
      <w:r>
        <w:rPr>
          <w:rFonts w:hint="eastAsia" w:ascii="宋体" w:hAnsi="宋体" w:cs="宋体"/>
          <w:lang w:eastAsia="zh-CN"/>
        </w:rPr>
        <w:t>[6]  GB/T 34543-2017 黄色钻石分级</w:t>
      </w:r>
    </w:p>
    <w:p w14:paraId="0A99C3DE">
      <w:pPr>
        <w:ind w:firstLine="420"/>
        <w:rPr>
          <w:rFonts w:ascii="宋体" w:hAnsi="宋体" w:cs="宋体"/>
          <w:lang w:eastAsia="zh-CN"/>
        </w:rPr>
      </w:pPr>
      <w:r>
        <w:rPr>
          <w:rFonts w:hint="eastAsia" w:ascii="宋体" w:hAnsi="宋体" w:cs="宋体"/>
          <w:lang w:eastAsia="zh-CN"/>
        </w:rPr>
        <w:t>[7]  GB/T 34545-2017 祖母绿分级</w:t>
      </w:r>
    </w:p>
    <w:p w14:paraId="0674E701">
      <w:pPr>
        <w:ind w:firstLine="420"/>
        <w:rPr>
          <w:rFonts w:ascii="宋体" w:hAnsi="宋体" w:cs="宋体"/>
          <w:lang w:eastAsia="zh-CN"/>
        </w:rPr>
      </w:pPr>
      <w:r>
        <w:rPr>
          <w:rFonts w:hint="eastAsia" w:ascii="宋体" w:hAnsi="宋体" w:cs="宋体"/>
          <w:lang w:eastAsia="zh-CN"/>
        </w:rPr>
        <w:t>[8]  GB/T 36127-2018 玉雕制品工艺质量评价</w:t>
      </w:r>
    </w:p>
    <w:p w14:paraId="64264B6A">
      <w:pPr>
        <w:ind w:firstLine="420"/>
        <w:rPr>
          <w:rFonts w:ascii="宋体" w:hAnsi="宋体" w:cs="宋体"/>
          <w:lang w:eastAsia="zh-CN"/>
        </w:rPr>
      </w:pPr>
      <w:r>
        <w:rPr>
          <w:rFonts w:hint="eastAsia" w:ascii="宋体" w:hAnsi="宋体" w:cs="宋体"/>
          <w:lang w:eastAsia="zh-CN"/>
        </w:rPr>
        <w:t>[9]  GB/T 36168-2018 绿松石 鉴定</w:t>
      </w:r>
    </w:p>
    <w:p w14:paraId="3158AB6C">
      <w:pPr>
        <w:ind w:firstLine="420"/>
        <w:rPr>
          <w:rFonts w:ascii="宋体" w:hAnsi="宋体" w:cs="宋体"/>
          <w:lang w:eastAsia="zh-CN"/>
        </w:rPr>
      </w:pPr>
      <w:r>
        <w:rPr>
          <w:rFonts w:hint="eastAsia" w:ascii="宋体" w:hAnsi="宋体" w:cs="宋体"/>
          <w:lang w:eastAsia="zh-CN"/>
        </w:rPr>
        <w:t>[10]  GB/T 36169-2018 绿松石 分级</w:t>
      </w:r>
    </w:p>
    <w:p w14:paraId="21E6D0C4">
      <w:pPr>
        <w:ind w:firstLine="420"/>
        <w:rPr>
          <w:rFonts w:ascii="宋体" w:hAnsi="宋体" w:cs="宋体"/>
          <w:lang w:eastAsia="zh-CN"/>
        </w:rPr>
      </w:pPr>
      <w:r>
        <w:rPr>
          <w:rFonts w:hint="eastAsia" w:ascii="宋体" w:hAnsi="宋体" w:cs="宋体"/>
          <w:lang w:eastAsia="zh-CN"/>
        </w:rPr>
        <w:t>[11]  GB/T 37460-2019 琥珀 鉴定与分类</w:t>
      </w:r>
    </w:p>
    <w:p w14:paraId="1653D756">
      <w:pPr>
        <w:ind w:firstLine="420"/>
        <w:rPr>
          <w:rFonts w:ascii="宋体" w:hAnsi="宋体" w:cs="宋体"/>
          <w:lang w:eastAsia="zh-CN"/>
        </w:rPr>
      </w:pPr>
      <w:r>
        <w:rPr>
          <w:rFonts w:hint="eastAsia" w:ascii="宋体" w:hAnsi="宋体" w:cs="宋体"/>
          <w:lang w:eastAsia="zh-CN"/>
        </w:rPr>
        <w:t>[12]  GB/T 38816-2020 玛瑙 北红玛瑙 鉴定</w:t>
      </w:r>
    </w:p>
    <w:p w14:paraId="0FE48355">
      <w:pPr>
        <w:ind w:firstLine="420"/>
        <w:rPr>
          <w:rFonts w:ascii="宋体" w:hAnsi="宋体" w:cs="宋体"/>
          <w:lang w:eastAsia="zh-CN"/>
        </w:rPr>
      </w:pPr>
      <w:r>
        <w:rPr>
          <w:rFonts w:hint="eastAsia" w:ascii="宋体" w:hAnsi="宋体" w:cs="宋体"/>
          <w:lang w:eastAsia="zh-CN"/>
        </w:rPr>
        <w:t>[13]  GB/T 38821-2020 和田玉 鉴定与分类</w:t>
      </w:r>
    </w:p>
    <w:p w14:paraId="72B9CC18">
      <w:pPr>
        <w:ind w:firstLine="420"/>
        <w:rPr>
          <w:rFonts w:ascii="宋体" w:hAnsi="宋体" w:cs="宋体"/>
          <w:lang w:eastAsia="zh-CN"/>
        </w:rPr>
      </w:pPr>
      <w:r>
        <w:rPr>
          <w:rFonts w:hint="eastAsia" w:ascii="宋体" w:hAnsi="宋体" w:cs="宋体"/>
          <w:lang w:eastAsia="zh-CN"/>
        </w:rPr>
        <w:t>[14]  GB/T 41609-2022 金银饰品传统工艺 术语</w:t>
      </w:r>
    </w:p>
    <w:p w14:paraId="78B6E923">
      <w:pPr>
        <w:ind w:firstLine="420"/>
        <w:rPr>
          <w:rFonts w:ascii="宋体" w:hAnsi="宋体" w:cs="宋体"/>
          <w:lang w:eastAsia="zh-CN"/>
        </w:rPr>
      </w:pPr>
      <w:r>
        <w:rPr>
          <w:rFonts w:hint="eastAsia" w:ascii="宋体" w:hAnsi="宋体" w:cs="宋体"/>
          <w:lang w:eastAsia="zh-CN"/>
        </w:rPr>
        <w:t>[15]  GB/T 42220-2022 金镶玉镶嵌工艺质量评价</w:t>
      </w:r>
    </w:p>
    <w:p w14:paraId="58AD831F">
      <w:pPr>
        <w:ind w:firstLine="420"/>
        <w:rPr>
          <w:rFonts w:ascii="宋体" w:hAnsi="宋体" w:cs="宋体"/>
          <w:lang w:eastAsia="zh-CN"/>
        </w:rPr>
      </w:pPr>
      <w:r>
        <w:rPr>
          <w:rFonts w:hint="eastAsia" w:ascii="宋体" w:hAnsi="宋体" w:cs="宋体"/>
          <w:lang w:eastAsia="zh-CN"/>
        </w:rPr>
        <w:t>[16]  GB/T 42433-2023 珠宝玉石鉴定 红外光谱法</w:t>
      </w:r>
    </w:p>
    <w:p w14:paraId="544F21AE">
      <w:pPr>
        <w:ind w:firstLine="420"/>
        <w:rPr>
          <w:rFonts w:ascii="宋体" w:hAnsi="宋体" w:cs="宋体"/>
          <w:lang w:eastAsia="zh-CN"/>
        </w:rPr>
      </w:pPr>
      <w:r>
        <w:rPr>
          <w:rFonts w:hint="eastAsia" w:ascii="宋体" w:hAnsi="宋体" w:cs="宋体"/>
          <w:lang w:eastAsia="zh-CN"/>
        </w:rPr>
        <w:t>[17]  GB/T 42437-2023 南红 鉴定</w:t>
      </w:r>
    </w:p>
    <w:p w14:paraId="4A8235BD">
      <w:pPr>
        <w:ind w:firstLine="420"/>
        <w:rPr>
          <w:rFonts w:ascii="宋体" w:hAnsi="宋体" w:cs="宋体"/>
          <w:lang w:eastAsia="zh-CN"/>
        </w:rPr>
      </w:pPr>
      <w:r>
        <w:rPr>
          <w:rFonts w:hint="eastAsia" w:ascii="宋体" w:hAnsi="宋体" w:cs="宋体"/>
          <w:lang w:eastAsia="zh-CN"/>
        </w:rPr>
        <w:t>[18]  GB/T 43447-2023 首饰 金合金颜色 定义、颜色范围和命名</w:t>
      </w:r>
    </w:p>
    <w:p w14:paraId="588C9408">
      <w:pPr>
        <w:ind w:firstLine="420"/>
        <w:rPr>
          <w:rFonts w:ascii="宋体" w:hAnsi="宋体" w:cs="宋体"/>
          <w:lang w:eastAsia="zh-CN"/>
        </w:rPr>
      </w:pPr>
      <w:r>
        <w:rPr>
          <w:rFonts w:hint="eastAsia" w:ascii="宋体" w:hAnsi="宋体" w:cs="宋体"/>
          <w:lang w:eastAsia="zh-CN"/>
        </w:rPr>
        <w:t>[19]  QB/T 2062—2015 贵金属饰品</w:t>
      </w:r>
    </w:p>
    <w:p w14:paraId="29B263DF">
      <w:pPr>
        <w:ind w:firstLine="420"/>
        <w:rPr>
          <w:rFonts w:ascii="宋体" w:hAnsi="宋体" w:cs="宋体"/>
          <w:lang w:eastAsia="zh-CN"/>
        </w:rPr>
      </w:pPr>
      <w:r>
        <w:rPr>
          <w:rFonts w:hint="eastAsia" w:ascii="宋体" w:hAnsi="宋体" w:cs="宋体"/>
          <w:lang w:eastAsia="zh-CN"/>
        </w:rPr>
        <w:t>[20]  QB/T 4183—2012 鸡血石制品 分级</w:t>
      </w:r>
    </w:p>
    <w:p w14:paraId="0A65F2C5">
      <w:pPr>
        <w:ind w:firstLine="420"/>
        <w:rPr>
          <w:rFonts w:ascii="宋体" w:hAnsi="宋体" w:cs="宋体"/>
          <w:lang w:eastAsia="zh-CN"/>
        </w:rPr>
      </w:pPr>
      <w:r>
        <w:rPr>
          <w:rFonts w:hint="eastAsia" w:ascii="宋体" w:hAnsi="宋体" w:cs="宋体"/>
          <w:lang w:eastAsia="zh-CN"/>
        </w:rPr>
        <w:t>[21]  QB/T 4365—2012 碳化钨饰品</w:t>
      </w:r>
    </w:p>
    <w:p w14:paraId="23244BC6">
      <w:pPr>
        <w:ind w:firstLine="420"/>
        <w:rPr>
          <w:rFonts w:ascii="宋体" w:hAnsi="宋体" w:cs="宋体"/>
          <w:lang w:eastAsia="zh-CN"/>
        </w:rPr>
      </w:pPr>
      <w:r>
        <w:rPr>
          <w:rFonts w:hint="eastAsia" w:ascii="宋体" w:hAnsi="宋体" w:cs="宋体"/>
          <w:lang w:eastAsia="zh-CN"/>
        </w:rPr>
        <w:t>[22]  QB/T 4725—2014 贵金属艺雕复镶首饰</w:t>
      </w:r>
    </w:p>
    <w:p w14:paraId="1FB43615">
      <w:pPr>
        <w:ind w:firstLine="420"/>
        <w:rPr>
          <w:rFonts w:ascii="宋体" w:hAnsi="宋体" w:cs="宋体"/>
          <w:lang w:eastAsia="zh-CN"/>
        </w:rPr>
      </w:pPr>
      <w:r>
        <w:rPr>
          <w:rFonts w:hint="eastAsia" w:ascii="宋体" w:hAnsi="宋体" w:cs="宋体"/>
          <w:lang w:eastAsia="zh-CN"/>
        </w:rPr>
        <w:t>[23]  QB/T 5233—2018 贵金属饰品制造工艺术语</w:t>
      </w:r>
    </w:p>
    <w:p w14:paraId="303FC9D0">
      <w:pPr>
        <w:ind w:firstLine="420"/>
        <w:rPr>
          <w:rFonts w:ascii="宋体" w:hAnsi="宋体" w:cs="宋体"/>
          <w:lang w:eastAsia="zh-CN"/>
        </w:rPr>
      </w:pPr>
      <w:r>
        <w:rPr>
          <w:rFonts w:hint="eastAsia" w:ascii="宋体" w:hAnsi="宋体" w:cs="宋体"/>
          <w:lang w:eastAsia="zh-CN"/>
        </w:rPr>
        <w:t>[24]  DZ/T 0412-2022 苏纪石 鉴定与分类</w:t>
      </w:r>
    </w:p>
    <w:p w14:paraId="5072567F">
      <w:pPr>
        <w:ind w:firstLine="420"/>
        <w:rPr>
          <w:rFonts w:ascii="宋体" w:hAnsi="宋体" w:cs="宋体"/>
          <w:lang w:eastAsia="zh-CN"/>
        </w:rPr>
      </w:pPr>
      <w:r>
        <w:rPr>
          <w:rFonts w:hint="eastAsia" w:ascii="宋体" w:hAnsi="宋体" w:cs="宋体"/>
          <w:lang w:eastAsia="zh-CN"/>
        </w:rPr>
        <w:t>[25]  DZ/T 0413—2022 珐琅 鉴定与分类</w:t>
      </w:r>
    </w:p>
    <w:p w14:paraId="61BC671A">
      <w:pPr>
        <w:ind w:firstLine="420"/>
        <w:rPr>
          <w:rFonts w:ascii="宋体" w:hAnsi="宋体" w:cs="宋体"/>
          <w:lang w:eastAsia="zh-CN"/>
        </w:rPr>
      </w:pPr>
      <w:r>
        <w:rPr>
          <w:rFonts w:hint="eastAsia" w:ascii="宋体" w:hAnsi="宋体" w:cs="宋体"/>
          <w:lang w:eastAsia="zh-CN"/>
        </w:rPr>
        <w:t>[26]  DZ/T 0414—2022 钻石八心八箭效应 测试与分级</w:t>
      </w:r>
    </w:p>
    <w:p w14:paraId="1F27E73A">
      <w:pPr>
        <w:ind w:firstLine="420"/>
        <w:rPr>
          <w:rFonts w:ascii="宋体" w:hAnsi="宋体" w:cs="宋体"/>
          <w:lang w:eastAsia="zh-CN"/>
        </w:rPr>
      </w:pPr>
      <w:r>
        <w:rPr>
          <w:rFonts w:hint="eastAsia" w:ascii="宋体" w:hAnsi="宋体" w:cs="宋体"/>
          <w:lang w:eastAsia="zh-CN"/>
        </w:rPr>
        <w:t>[27]  DZ/T 0415—2022 珠宝玉石饰品制造工艺术语</w:t>
      </w:r>
    </w:p>
    <w:p w14:paraId="21C44283">
      <w:pPr>
        <w:ind w:firstLine="420"/>
        <w:rPr>
          <w:rFonts w:ascii="宋体" w:hAnsi="宋体" w:cs="宋体"/>
          <w:lang w:eastAsia="zh-CN"/>
        </w:rPr>
      </w:pPr>
      <w:r>
        <w:rPr>
          <w:rFonts w:hint="eastAsia" w:ascii="宋体" w:hAnsi="宋体" w:cs="宋体"/>
          <w:lang w:eastAsia="zh-CN"/>
        </w:rPr>
        <w:t>[28]  DZ/T 0416—2022 海水珍珠与淡水珍珠的鉴别 X射线荧光光谱法</w:t>
      </w:r>
    </w:p>
    <w:p w14:paraId="1D918BDC">
      <w:pPr>
        <w:ind w:firstLine="420"/>
        <w:rPr>
          <w:rFonts w:ascii="宋体" w:hAnsi="宋体" w:cs="宋体"/>
          <w:lang w:eastAsia="zh-CN"/>
        </w:rPr>
      </w:pPr>
      <w:r>
        <w:rPr>
          <w:rFonts w:hint="eastAsia" w:ascii="宋体" w:hAnsi="宋体" w:cs="宋体"/>
          <w:lang w:eastAsia="zh-CN"/>
        </w:rPr>
        <w:t>[29]  DZ/T 0417—2022 珠宝玉石饰品售后服务规范</w:t>
      </w:r>
    </w:p>
    <w:p w14:paraId="1B12806F">
      <w:pPr>
        <w:ind w:firstLine="420"/>
        <w:rPr>
          <w:rFonts w:ascii="宋体" w:hAnsi="宋体" w:cs="宋体"/>
          <w:lang w:eastAsia="zh-CN"/>
        </w:rPr>
      </w:pPr>
      <w:r>
        <w:rPr>
          <w:rFonts w:hint="eastAsia" w:ascii="宋体" w:hAnsi="宋体" w:cs="宋体"/>
          <w:lang w:eastAsia="zh-CN"/>
        </w:rPr>
        <w:t>[30]  DZ/T 0418—2022 钻石 花式切工技术规范</w:t>
      </w:r>
    </w:p>
    <w:p w14:paraId="59FF223C">
      <w:pPr>
        <w:ind w:firstLine="420"/>
        <w:rPr>
          <w:rFonts w:ascii="宋体" w:hAnsi="宋体" w:cs="宋体"/>
          <w:lang w:eastAsia="zh-CN"/>
        </w:rPr>
      </w:pPr>
      <w:r>
        <w:rPr>
          <w:rFonts w:hint="eastAsia" w:ascii="宋体" w:hAnsi="宋体" w:cs="宋体"/>
          <w:lang w:eastAsia="zh-CN"/>
        </w:rPr>
        <w:t>[31]  DZ/T 0414—2022 钻石八心八箭效应 测试与分级</w:t>
      </w:r>
    </w:p>
    <w:p w14:paraId="43AE0311">
      <w:pPr>
        <w:ind w:firstLine="420"/>
        <w:rPr>
          <w:rFonts w:ascii="宋体" w:hAnsi="宋体" w:cs="宋体"/>
          <w:lang w:eastAsia="zh-CN"/>
        </w:rPr>
      </w:pPr>
      <w:r>
        <w:rPr>
          <w:rFonts w:hint="eastAsia" w:ascii="宋体" w:hAnsi="宋体" w:cs="宋体"/>
          <w:lang w:eastAsia="zh-CN"/>
        </w:rPr>
        <w:t>[32]  DZ/T 0415—2022 珠宝玉石饰品制造工艺术语</w:t>
      </w:r>
    </w:p>
    <w:p w14:paraId="60D6EEA7">
      <w:pPr>
        <w:ind w:firstLine="420"/>
        <w:rPr>
          <w:rFonts w:ascii="宋体" w:hAnsi="宋体" w:cs="宋体"/>
          <w:lang w:eastAsia="zh-CN"/>
        </w:rPr>
      </w:pPr>
      <w:r>
        <w:rPr>
          <w:rFonts w:hint="eastAsia" w:ascii="宋体" w:hAnsi="宋体" w:cs="宋体"/>
          <w:lang w:eastAsia="zh-CN"/>
        </w:rPr>
        <w:t>[33]  DZ/T 0416—2022 海水珍珠与淡水珍珠的鉴别 X射线荧光光谱法</w:t>
      </w:r>
    </w:p>
    <w:p w14:paraId="51BDC900">
      <w:pPr>
        <w:ind w:firstLine="420"/>
        <w:rPr>
          <w:rFonts w:ascii="宋体" w:hAnsi="宋体" w:cs="宋体"/>
          <w:lang w:eastAsia="zh-CN"/>
        </w:rPr>
      </w:pPr>
      <w:r>
        <w:rPr>
          <w:rFonts w:hint="eastAsia" w:ascii="宋体" w:hAnsi="宋体" w:cs="宋体"/>
          <w:lang w:eastAsia="zh-CN"/>
        </w:rPr>
        <w:t>[34]  DZ/T 0417—2022 珠宝玉石饰品售后服务规范</w:t>
      </w:r>
    </w:p>
    <w:p w14:paraId="602E52B1">
      <w:pPr>
        <w:ind w:firstLine="420"/>
        <w:rPr>
          <w:rFonts w:ascii="宋体" w:hAnsi="宋体" w:cs="宋体"/>
          <w:lang w:eastAsia="zh-CN"/>
        </w:rPr>
      </w:pPr>
      <w:r>
        <w:rPr>
          <w:rFonts w:hint="eastAsia" w:ascii="宋体" w:hAnsi="宋体" w:cs="宋体"/>
          <w:lang w:eastAsia="zh-CN"/>
        </w:rPr>
        <w:t>[35]  DZ/T 0418—2022 钻石 花式切工技术规范</w:t>
      </w:r>
    </w:p>
    <w:p w14:paraId="6C2E9334">
      <w:pPr>
        <w:ind w:firstLine="420"/>
        <w:rPr>
          <w:rFonts w:ascii="宋体" w:hAnsi="宋体" w:cs="宋体"/>
          <w:lang w:eastAsia="zh-CN"/>
        </w:rPr>
      </w:pPr>
      <w:r>
        <w:rPr>
          <w:rFonts w:ascii="宋体" w:hAnsi="宋体" w:cs="宋体"/>
          <w:lang w:eastAsia="zh-CN"/>
        </w:rPr>
        <w:t>[36]  ISO 20671-1:2021  Brand evaluation — Part 1: Principles and fundamentals</w:t>
      </w:r>
    </w:p>
    <w:p w14:paraId="1036DF4E">
      <w:pPr>
        <w:ind w:firstLine="420"/>
        <w:rPr>
          <w:rFonts w:ascii="宋体" w:hAnsi="宋体" w:cs="宋体"/>
          <w:lang w:eastAsia="zh-CN"/>
        </w:rPr>
      </w:pPr>
      <w:r>
        <w:rPr>
          <w:rFonts w:ascii="宋体" w:hAnsi="宋体" w:cs="宋体"/>
          <w:lang w:eastAsia="zh-CN"/>
        </w:rPr>
        <w:t>[37]  ISO/IEC 20243-1:2023 Information technology — Open Trusted Technology ProviderTM Standard (O-TTPS) — Part 1: Requirements and recommendations for mitigating maliciously tainted and counterfeit products</w:t>
      </w:r>
    </w:p>
    <w:p w14:paraId="0212B137">
      <w:pPr>
        <w:ind w:firstLine="420"/>
        <w:rPr>
          <w:rFonts w:ascii="宋体" w:hAnsi="宋体" w:cs="宋体"/>
          <w:lang w:eastAsia="zh-CN"/>
        </w:rPr>
      </w:pPr>
      <w:r>
        <w:rPr>
          <w:rFonts w:ascii="宋体" w:hAnsi="宋体" w:cs="宋体"/>
          <w:lang w:eastAsia="zh-CN"/>
        </w:rPr>
        <w:t>[38]  ISO 21041:2018 Guidance on unit pricing</w:t>
      </w:r>
    </w:p>
    <w:p w14:paraId="4894D39A">
      <w:pPr>
        <w:ind w:firstLine="420"/>
        <w:rPr>
          <w:rFonts w:ascii="宋体" w:hAnsi="宋体" w:cs="宋体"/>
          <w:lang w:eastAsia="zh-CN"/>
        </w:rPr>
      </w:pPr>
      <w:r>
        <w:rPr>
          <w:rFonts w:ascii="宋体" w:hAnsi="宋体" w:cs="宋体"/>
          <w:lang w:eastAsia="zh-CN"/>
        </w:rPr>
        <w:t>[39]  ISO 22059:2020 Guidelines on consumer warranties/guarantees</w:t>
      </w:r>
    </w:p>
    <w:p w14:paraId="20196D6D">
      <w:pPr>
        <w:ind w:firstLine="420"/>
        <w:rPr>
          <w:rFonts w:ascii="宋体" w:hAnsi="宋体" w:cs="宋体"/>
          <w:lang w:eastAsia="zh-CN"/>
        </w:rPr>
      </w:pPr>
    </w:p>
    <w:p w14:paraId="3A84B6AF">
      <w:pPr>
        <w:ind w:firstLine="420"/>
        <w:rPr>
          <w:rFonts w:ascii="宋体" w:hAnsi="宋体" w:cs="宋体"/>
          <w:lang w:eastAsia="zh-CN"/>
        </w:rPr>
      </w:pPr>
    </w:p>
    <w:p w14:paraId="037105F6">
      <w:pPr>
        <w:ind w:firstLine="420"/>
        <w:rPr>
          <w:rFonts w:ascii="宋体" w:hAnsi="宋体" w:cs="宋体"/>
          <w:lang w:eastAsia="zh-CN"/>
        </w:rPr>
      </w:pPr>
    </w:p>
    <w:p w14:paraId="682F5EF0">
      <w:pPr>
        <w:ind w:firstLine="420"/>
        <w:rPr>
          <w:rFonts w:ascii="宋体" w:hAnsi="宋体" w:cs="宋体"/>
          <w:lang w:eastAsia="zh-CN"/>
        </w:rPr>
      </w:pPr>
    </w:p>
    <w:p w14:paraId="7167772B">
      <w:pPr>
        <w:ind w:firstLine="420"/>
        <w:rPr>
          <w:rFonts w:ascii="宋体" w:hAnsi="宋体" w:cs="宋体"/>
          <w:lang w:eastAsia="zh-CN"/>
        </w:rPr>
      </w:pPr>
    </w:p>
    <w:p w14:paraId="30220730">
      <w:pPr>
        <w:ind w:firstLine="420"/>
        <w:jc w:val="right"/>
        <w:rPr>
          <w:rFonts w:ascii="黑体" w:hAnsi="黑体" w:eastAsia="黑体" w:cs="黑体"/>
          <w:spacing w:val="8"/>
          <w:lang w:eastAsia="zh-CN"/>
        </w:rPr>
      </w:pPr>
      <w:r>
        <w:rPr>
          <w:rFonts w:hint="eastAsia" w:ascii="黑体" w:hAnsi="黑体" w:eastAsia="黑体" w:cs="黑体"/>
          <w:lang w:eastAsia="zh-CN"/>
        </w:rPr>
        <w:t>《品牌饰品鉴定通用技术规范》标准起草小组</w:t>
      </w:r>
      <w:r>
        <w:rPr>
          <w:rFonts w:hint="eastAsia" w:ascii="黑体" w:hAnsi="黑体" w:eastAsia="黑体" w:cs="黑体"/>
          <w:spacing w:val="8"/>
          <w:lang w:eastAsia="zh-CN"/>
        </w:rPr>
        <w:t xml:space="preserve">   </w:t>
      </w:r>
    </w:p>
    <w:p w14:paraId="69C9876C">
      <w:pPr>
        <w:ind w:firstLine="396"/>
        <w:jc w:val="right"/>
        <w:rPr>
          <w:rFonts w:ascii="宋体" w:hAnsi="宋体" w:cs="宋体"/>
          <w:lang w:eastAsia="zh-CN"/>
        </w:rPr>
      </w:pPr>
      <w:r>
        <w:rPr>
          <w:rFonts w:hint="eastAsia" w:ascii="黑体" w:hAnsi="黑体" w:eastAsia="黑体" w:cs="黑体"/>
          <w:spacing w:val="-6"/>
          <w:lang w:eastAsia="zh-CN"/>
        </w:rPr>
        <w:t>202</w:t>
      </w:r>
      <w:r>
        <w:rPr>
          <w:rFonts w:ascii="黑体" w:hAnsi="黑体" w:eastAsia="黑体" w:cs="黑体"/>
          <w:spacing w:val="-6"/>
          <w:lang w:eastAsia="zh-CN"/>
        </w:rPr>
        <w:t>5</w:t>
      </w:r>
      <w:r>
        <w:rPr>
          <w:rFonts w:hint="eastAsia" w:ascii="黑体" w:hAnsi="黑体" w:eastAsia="黑体" w:cs="黑体"/>
          <w:spacing w:val="-6"/>
          <w:lang w:eastAsia="zh-CN"/>
        </w:rPr>
        <w:t>年</w:t>
      </w:r>
      <w:r>
        <w:rPr>
          <w:rFonts w:ascii="黑体" w:hAnsi="黑体" w:eastAsia="黑体" w:cs="黑体"/>
          <w:spacing w:val="14"/>
          <w:lang w:eastAsia="zh-CN"/>
        </w:rPr>
        <w:t>3</w:t>
      </w:r>
      <w:r>
        <w:rPr>
          <w:rFonts w:hint="eastAsia" w:ascii="黑体" w:hAnsi="黑体" w:eastAsia="黑体" w:cs="黑体"/>
          <w:spacing w:val="-6"/>
          <w:lang w:eastAsia="zh-CN"/>
        </w:rPr>
        <w:t>月</w:t>
      </w:r>
      <w:r>
        <w:rPr>
          <w:rFonts w:ascii="黑体" w:hAnsi="黑体" w:eastAsia="黑体" w:cs="黑体"/>
          <w:spacing w:val="2"/>
          <w:lang w:eastAsia="zh-CN"/>
        </w:rPr>
        <w:t>15</w:t>
      </w:r>
      <w:r>
        <w:rPr>
          <w:rFonts w:hint="eastAsia" w:ascii="黑体" w:hAnsi="黑体" w:eastAsia="黑体" w:cs="黑体"/>
          <w:spacing w:val="-6"/>
          <w:lang w:eastAsia="zh-CN"/>
        </w:rPr>
        <w:t>日</w:t>
      </w:r>
    </w:p>
    <w:p w14:paraId="2D6309FF">
      <w:pPr>
        <w:ind w:firstLine="0" w:firstLineChars="0"/>
        <w:jc w:val="both"/>
        <w:rPr>
          <w:rFonts w:ascii="黑体" w:hAnsi="黑体" w:eastAsia="黑体" w:cs="黑体"/>
          <w:spacing w:val="-1"/>
          <w:lang w:eastAsia="zh-CN"/>
        </w:rPr>
      </w:pPr>
    </w:p>
    <w:p w14:paraId="49243B91">
      <w:pPr>
        <w:ind w:firstLine="420"/>
        <w:rPr>
          <w:lang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0" w:footer="1106" w:gutter="0"/>
      <w:cols w:space="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CC931">
    <w:pPr>
      <w:spacing w:line="14" w:lineRule="auto"/>
      <w:ind w:firstLine="40"/>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D6C5A">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D96EB">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F2A6C">
    <w:pPr>
      <w:pStyle w:val="7"/>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0393D">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04CFE">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617C78"/>
    <w:multiLevelType w:val="multilevel"/>
    <w:tmpl w:val="44617C78"/>
    <w:lvl w:ilvl="0" w:tentative="0">
      <w:start w:val="1"/>
      <w:numFmt w:val="chineseCountingThousand"/>
      <w:lvlText w:val="（%1）"/>
      <w:lvlJc w:val="left"/>
      <w:pPr>
        <w:ind w:left="808" w:hanging="440"/>
      </w:pPr>
      <w:rPr>
        <w:rFonts w:hint="default"/>
      </w:rPr>
    </w:lvl>
    <w:lvl w:ilvl="1" w:tentative="0">
      <w:start w:val="1"/>
      <w:numFmt w:val="lowerLetter"/>
      <w:lvlText w:val="%2)"/>
      <w:lvlJc w:val="left"/>
      <w:pPr>
        <w:ind w:left="1248" w:hanging="440"/>
      </w:pPr>
    </w:lvl>
    <w:lvl w:ilvl="2" w:tentative="0">
      <w:start w:val="1"/>
      <w:numFmt w:val="lowerRoman"/>
      <w:lvlText w:val="%3."/>
      <w:lvlJc w:val="right"/>
      <w:pPr>
        <w:ind w:left="1688" w:hanging="440"/>
      </w:pPr>
    </w:lvl>
    <w:lvl w:ilvl="3" w:tentative="0">
      <w:start w:val="1"/>
      <w:numFmt w:val="decimal"/>
      <w:lvlText w:val="%4."/>
      <w:lvlJc w:val="left"/>
      <w:pPr>
        <w:ind w:left="2128" w:hanging="440"/>
      </w:pPr>
    </w:lvl>
    <w:lvl w:ilvl="4" w:tentative="0">
      <w:start w:val="1"/>
      <w:numFmt w:val="lowerLetter"/>
      <w:lvlText w:val="%5)"/>
      <w:lvlJc w:val="left"/>
      <w:pPr>
        <w:ind w:left="2568" w:hanging="440"/>
      </w:pPr>
    </w:lvl>
    <w:lvl w:ilvl="5" w:tentative="0">
      <w:start w:val="1"/>
      <w:numFmt w:val="lowerRoman"/>
      <w:lvlText w:val="%6."/>
      <w:lvlJc w:val="right"/>
      <w:pPr>
        <w:ind w:left="3008" w:hanging="440"/>
      </w:pPr>
    </w:lvl>
    <w:lvl w:ilvl="6" w:tentative="0">
      <w:start w:val="1"/>
      <w:numFmt w:val="decimal"/>
      <w:lvlText w:val="%7."/>
      <w:lvlJc w:val="left"/>
      <w:pPr>
        <w:ind w:left="3448" w:hanging="440"/>
      </w:pPr>
    </w:lvl>
    <w:lvl w:ilvl="7" w:tentative="0">
      <w:start w:val="1"/>
      <w:numFmt w:val="lowerLetter"/>
      <w:lvlText w:val="%8)"/>
      <w:lvlJc w:val="left"/>
      <w:pPr>
        <w:ind w:left="3888" w:hanging="440"/>
      </w:pPr>
    </w:lvl>
    <w:lvl w:ilvl="8" w:tentative="0">
      <w:start w:val="1"/>
      <w:numFmt w:val="lowerRoman"/>
      <w:lvlText w:val="%9."/>
      <w:lvlJc w:val="right"/>
      <w:pPr>
        <w:ind w:left="4328" w:hanging="440"/>
      </w:pPr>
    </w:lvl>
  </w:abstractNum>
  <w:abstractNum w:abstractNumId="1">
    <w:nsid w:val="4C1A5465"/>
    <w:multiLevelType w:val="multilevel"/>
    <w:tmpl w:val="4C1A5465"/>
    <w:lvl w:ilvl="0" w:tentative="0">
      <w:start w:val="1"/>
      <w:numFmt w:val="decimal"/>
      <w:pStyle w:val="22"/>
      <w:suff w:val="nothing"/>
      <w:lvlText w:val="[%1]  "/>
      <w:lvlJc w:val="left"/>
      <w:pPr>
        <w:ind w:left="624" w:hanging="624"/>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6CEA2025"/>
    <w:multiLevelType w:val="multilevel"/>
    <w:tmpl w:val="6CEA2025"/>
    <w:lvl w:ilvl="0" w:tentative="0">
      <w:start w:val="1"/>
      <w:numFmt w:val="none"/>
      <w:pStyle w:val="21"/>
      <w:suff w:val="nothing"/>
      <w:lvlText w:val="%1"/>
      <w:lvlJc w:val="left"/>
      <w:pPr>
        <w:ind w:left="0" w:firstLine="0"/>
      </w:pPr>
      <w:rPr>
        <w:rFonts w:hint="eastAsia"/>
      </w:rPr>
    </w:lvl>
    <w:lvl w:ilvl="1" w:tentative="0">
      <w:start w:val="1"/>
      <w:numFmt w:val="decimal"/>
      <w:pStyle w:val="19"/>
      <w:suff w:val="nothing"/>
      <w:lvlText w:val="%1%2　"/>
      <w:lvlJc w:val="left"/>
      <w:pPr>
        <w:ind w:left="0" w:firstLine="0"/>
      </w:pPr>
      <w:rPr>
        <w:rFonts w:hint="eastAsia" w:ascii="黑体" w:eastAsia="黑体"/>
        <w:b w:val="0"/>
        <w:i w:val="0"/>
        <w:sz w:val="21"/>
      </w:rPr>
    </w:lvl>
    <w:lvl w:ilvl="2" w:tentative="0">
      <w:start w:val="1"/>
      <w:numFmt w:val="decimal"/>
      <w:pStyle w:val="2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15"/>
      <w:suff w:val="nothing"/>
      <w:lvlText w:val="%1%2.%3.%4　"/>
      <w:lvlJc w:val="left"/>
      <w:pPr>
        <w:ind w:left="0" w:firstLine="0"/>
      </w:pPr>
      <w:rPr>
        <w:rFonts w:hint="eastAsia" w:ascii="黑体" w:eastAsia="黑体"/>
        <w:b w:val="0"/>
        <w:i w:val="0"/>
        <w:sz w:val="21"/>
      </w:rPr>
    </w:lvl>
    <w:lvl w:ilvl="4" w:tentative="0">
      <w:start w:val="1"/>
      <w:numFmt w:val="decimal"/>
      <w:pStyle w:val="16"/>
      <w:suff w:val="nothing"/>
      <w:lvlText w:val="%1%2.%3.%4.%5　"/>
      <w:lvlJc w:val="left"/>
      <w:pPr>
        <w:ind w:left="0" w:firstLine="0"/>
      </w:pPr>
      <w:rPr>
        <w:rFonts w:hint="eastAsia" w:ascii="黑体" w:eastAsia="黑体"/>
        <w:b w:val="0"/>
        <w:i w:val="0"/>
        <w:sz w:val="21"/>
      </w:rPr>
    </w:lvl>
    <w:lvl w:ilvl="5" w:tentative="0">
      <w:start w:val="1"/>
      <w:numFmt w:val="decimal"/>
      <w:pStyle w:val="17"/>
      <w:suff w:val="nothing"/>
      <w:lvlText w:val="%1%2.%3.%4.%5.%6　"/>
      <w:lvlJc w:val="left"/>
      <w:pPr>
        <w:ind w:left="0" w:firstLine="0"/>
      </w:pPr>
      <w:rPr>
        <w:rFonts w:hint="eastAsia" w:ascii="黑体" w:eastAsia="黑体"/>
        <w:b w:val="0"/>
        <w:i w:val="0"/>
        <w:sz w:val="21"/>
      </w:rPr>
    </w:lvl>
    <w:lvl w:ilvl="6" w:tentative="0">
      <w:start w:val="1"/>
      <w:numFmt w:val="decimal"/>
      <w:pStyle w:val="1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5D61B0"/>
    <w:rsid w:val="00016025"/>
    <w:rsid w:val="00017FC5"/>
    <w:rsid w:val="00032D3B"/>
    <w:rsid w:val="00053778"/>
    <w:rsid w:val="0005402C"/>
    <w:rsid w:val="00064B86"/>
    <w:rsid w:val="0007150D"/>
    <w:rsid w:val="00080D7E"/>
    <w:rsid w:val="000879E1"/>
    <w:rsid w:val="000943E2"/>
    <w:rsid w:val="00096D5B"/>
    <w:rsid w:val="000A3ABC"/>
    <w:rsid w:val="000E37AB"/>
    <w:rsid w:val="000F1AF4"/>
    <w:rsid w:val="000F1BC1"/>
    <w:rsid w:val="000F2EE7"/>
    <w:rsid w:val="000F4029"/>
    <w:rsid w:val="000F40F8"/>
    <w:rsid w:val="00107AEF"/>
    <w:rsid w:val="00154333"/>
    <w:rsid w:val="001966A4"/>
    <w:rsid w:val="001A6AD0"/>
    <w:rsid w:val="001C6515"/>
    <w:rsid w:val="001D0D34"/>
    <w:rsid w:val="001D7F98"/>
    <w:rsid w:val="001E0C7B"/>
    <w:rsid w:val="001E2772"/>
    <w:rsid w:val="001F1D6B"/>
    <w:rsid w:val="001F72B0"/>
    <w:rsid w:val="00202E1D"/>
    <w:rsid w:val="00231558"/>
    <w:rsid w:val="0023754A"/>
    <w:rsid w:val="002558B7"/>
    <w:rsid w:val="002660AD"/>
    <w:rsid w:val="002778EE"/>
    <w:rsid w:val="002A5B78"/>
    <w:rsid w:val="002B00A3"/>
    <w:rsid w:val="002B2F9D"/>
    <w:rsid w:val="0030024D"/>
    <w:rsid w:val="00306A87"/>
    <w:rsid w:val="0033505F"/>
    <w:rsid w:val="00341F9F"/>
    <w:rsid w:val="0034243A"/>
    <w:rsid w:val="00343072"/>
    <w:rsid w:val="00345E7B"/>
    <w:rsid w:val="00353436"/>
    <w:rsid w:val="00394988"/>
    <w:rsid w:val="003B74E7"/>
    <w:rsid w:val="003F4D6C"/>
    <w:rsid w:val="00402A00"/>
    <w:rsid w:val="00461F85"/>
    <w:rsid w:val="004740FD"/>
    <w:rsid w:val="004A0259"/>
    <w:rsid w:val="004C15BD"/>
    <w:rsid w:val="004E2552"/>
    <w:rsid w:val="004E7C64"/>
    <w:rsid w:val="005019D0"/>
    <w:rsid w:val="00503564"/>
    <w:rsid w:val="0052736C"/>
    <w:rsid w:val="00532AED"/>
    <w:rsid w:val="0054541B"/>
    <w:rsid w:val="005477A0"/>
    <w:rsid w:val="005557D7"/>
    <w:rsid w:val="0056252D"/>
    <w:rsid w:val="0056684F"/>
    <w:rsid w:val="005824FC"/>
    <w:rsid w:val="00595D5B"/>
    <w:rsid w:val="005B330D"/>
    <w:rsid w:val="005B766F"/>
    <w:rsid w:val="005C4D18"/>
    <w:rsid w:val="005C6B4D"/>
    <w:rsid w:val="005D61B0"/>
    <w:rsid w:val="005E0026"/>
    <w:rsid w:val="005E3E13"/>
    <w:rsid w:val="005F5F2E"/>
    <w:rsid w:val="006029C7"/>
    <w:rsid w:val="00617BBF"/>
    <w:rsid w:val="006426D5"/>
    <w:rsid w:val="00676BF5"/>
    <w:rsid w:val="006871A5"/>
    <w:rsid w:val="006946CB"/>
    <w:rsid w:val="006A1740"/>
    <w:rsid w:val="006B256F"/>
    <w:rsid w:val="006B3D17"/>
    <w:rsid w:val="006D3B9F"/>
    <w:rsid w:val="006E418D"/>
    <w:rsid w:val="006E43AA"/>
    <w:rsid w:val="0071609E"/>
    <w:rsid w:val="007262D0"/>
    <w:rsid w:val="0074577C"/>
    <w:rsid w:val="00746D08"/>
    <w:rsid w:val="0076549A"/>
    <w:rsid w:val="00775ED6"/>
    <w:rsid w:val="00777F1A"/>
    <w:rsid w:val="007B02B2"/>
    <w:rsid w:val="007C3CFE"/>
    <w:rsid w:val="007C55F1"/>
    <w:rsid w:val="007D0738"/>
    <w:rsid w:val="007F23E2"/>
    <w:rsid w:val="008241EA"/>
    <w:rsid w:val="00842D5A"/>
    <w:rsid w:val="008477DC"/>
    <w:rsid w:val="008527EE"/>
    <w:rsid w:val="008544E8"/>
    <w:rsid w:val="00867407"/>
    <w:rsid w:val="0087011A"/>
    <w:rsid w:val="008C3CF4"/>
    <w:rsid w:val="008C4088"/>
    <w:rsid w:val="008C755E"/>
    <w:rsid w:val="008D29DF"/>
    <w:rsid w:val="008E022A"/>
    <w:rsid w:val="008E18D7"/>
    <w:rsid w:val="008E36C2"/>
    <w:rsid w:val="008F5CA8"/>
    <w:rsid w:val="00900AD4"/>
    <w:rsid w:val="00902380"/>
    <w:rsid w:val="00922AF6"/>
    <w:rsid w:val="00930A3A"/>
    <w:rsid w:val="00962331"/>
    <w:rsid w:val="009665C9"/>
    <w:rsid w:val="009801B8"/>
    <w:rsid w:val="009B23A4"/>
    <w:rsid w:val="009C2E64"/>
    <w:rsid w:val="009D3D8A"/>
    <w:rsid w:val="009E435A"/>
    <w:rsid w:val="009F0EEA"/>
    <w:rsid w:val="009F42BF"/>
    <w:rsid w:val="00A07515"/>
    <w:rsid w:val="00A10E93"/>
    <w:rsid w:val="00A227E8"/>
    <w:rsid w:val="00A254B7"/>
    <w:rsid w:val="00A327F1"/>
    <w:rsid w:val="00A34F79"/>
    <w:rsid w:val="00A42FED"/>
    <w:rsid w:val="00A5383C"/>
    <w:rsid w:val="00A55E38"/>
    <w:rsid w:val="00A632AE"/>
    <w:rsid w:val="00A65F22"/>
    <w:rsid w:val="00A854B2"/>
    <w:rsid w:val="00AA32E1"/>
    <w:rsid w:val="00AD3AC0"/>
    <w:rsid w:val="00AD5495"/>
    <w:rsid w:val="00AE0F6C"/>
    <w:rsid w:val="00AE1A89"/>
    <w:rsid w:val="00AE587C"/>
    <w:rsid w:val="00B03446"/>
    <w:rsid w:val="00B05587"/>
    <w:rsid w:val="00B0598B"/>
    <w:rsid w:val="00B130C3"/>
    <w:rsid w:val="00B516E0"/>
    <w:rsid w:val="00B55483"/>
    <w:rsid w:val="00B5688A"/>
    <w:rsid w:val="00B6272C"/>
    <w:rsid w:val="00B73B49"/>
    <w:rsid w:val="00B74495"/>
    <w:rsid w:val="00B838F7"/>
    <w:rsid w:val="00B92B27"/>
    <w:rsid w:val="00BB4D2B"/>
    <w:rsid w:val="00BB4D37"/>
    <w:rsid w:val="00BD1171"/>
    <w:rsid w:val="00BE1296"/>
    <w:rsid w:val="00BF4CF4"/>
    <w:rsid w:val="00C2493C"/>
    <w:rsid w:val="00C266B7"/>
    <w:rsid w:val="00C369BA"/>
    <w:rsid w:val="00C85753"/>
    <w:rsid w:val="00C90E19"/>
    <w:rsid w:val="00C91DDA"/>
    <w:rsid w:val="00CA2EAB"/>
    <w:rsid w:val="00CC2212"/>
    <w:rsid w:val="00CC475B"/>
    <w:rsid w:val="00CE630F"/>
    <w:rsid w:val="00CE642B"/>
    <w:rsid w:val="00CF7FE9"/>
    <w:rsid w:val="00D25AC3"/>
    <w:rsid w:val="00D7329D"/>
    <w:rsid w:val="00D763DD"/>
    <w:rsid w:val="00D813FC"/>
    <w:rsid w:val="00D8477A"/>
    <w:rsid w:val="00D97176"/>
    <w:rsid w:val="00DC384C"/>
    <w:rsid w:val="00DC523E"/>
    <w:rsid w:val="00DC755A"/>
    <w:rsid w:val="00DE2D93"/>
    <w:rsid w:val="00DE7429"/>
    <w:rsid w:val="00DF387C"/>
    <w:rsid w:val="00DF5AA1"/>
    <w:rsid w:val="00E00100"/>
    <w:rsid w:val="00E01203"/>
    <w:rsid w:val="00E042E7"/>
    <w:rsid w:val="00E61C05"/>
    <w:rsid w:val="00E63587"/>
    <w:rsid w:val="00E654D5"/>
    <w:rsid w:val="00E736E4"/>
    <w:rsid w:val="00E83972"/>
    <w:rsid w:val="00E83A6C"/>
    <w:rsid w:val="00E9363C"/>
    <w:rsid w:val="00E94E5F"/>
    <w:rsid w:val="00EC4D3D"/>
    <w:rsid w:val="00EC6CBF"/>
    <w:rsid w:val="00ED1A55"/>
    <w:rsid w:val="00ED34DE"/>
    <w:rsid w:val="00EF2A2D"/>
    <w:rsid w:val="00F32740"/>
    <w:rsid w:val="00F4173F"/>
    <w:rsid w:val="00F56403"/>
    <w:rsid w:val="00F714D0"/>
    <w:rsid w:val="00F7531E"/>
    <w:rsid w:val="00FB2498"/>
    <w:rsid w:val="00FB58FD"/>
    <w:rsid w:val="00FD2571"/>
    <w:rsid w:val="00FF3621"/>
    <w:rsid w:val="2CFC277C"/>
    <w:rsid w:val="38C21F4F"/>
    <w:rsid w:val="3D690C82"/>
    <w:rsid w:val="708C7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kinsoku w:val="0"/>
      <w:autoSpaceDE w:val="0"/>
      <w:autoSpaceDN w:val="0"/>
      <w:adjustRightInd w:val="0"/>
      <w:snapToGrid w:val="0"/>
      <w:ind w:firstLine="400" w:firstLineChars="200"/>
      <w:textAlignment w:val="baseline"/>
    </w:pPr>
    <w:rPr>
      <w:rFonts w:ascii="Arial" w:hAnsi="Arial" w:eastAsia="宋体" w:cs="Arial"/>
      <w:snapToGrid w:val="0"/>
      <w:color w:val="000000"/>
      <w:sz w:val="21"/>
      <w:szCs w:val="21"/>
      <w:lang w:val="en-US" w:eastAsia="en-US" w:bidi="ar-SA"/>
    </w:rPr>
  </w:style>
  <w:style w:type="paragraph" w:styleId="2">
    <w:name w:val="heading 1"/>
    <w:basedOn w:val="1"/>
    <w:next w:val="1"/>
    <w:link w:val="27"/>
    <w:qFormat/>
    <w:uiPriority w:val="0"/>
    <w:pPr>
      <w:keepNext/>
      <w:keepLines/>
      <w:spacing w:before="200" w:after="200"/>
      <w:outlineLvl w:val="0"/>
    </w:pPr>
    <w:rPr>
      <w:rFonts w:eastAsia="黑体"/>
      <w:b/>
      <w:kern w:val="44"/>
    </w:rPr>
  </w:style>
  <w:style w:type="paragraph" w:styleId="3">
    <w:name w:val="heading 2"/>
    <w:basedOn w:val="1"/>
    <w:next w:val="1"/>
    <w:link w:val="28"/>
    <w:unhideWhenUsed/>
    <w:qFormat/>
    <w:uiPriority w:val="0"/>
    <w:pPr>
      <w:keepNext/>
      <w:keepLines/>
      <w:spacing w:before="200" w:after="200"/>
      <w:outlineLvl w:val="1"/>
    </w:pPr>
    <w:rPr>
      <w:rFonts w:eastAsia="黑体"/>
      <w:b/>
    </w:rPr>
  </w:style>
  <w:style w:type="paragraph" w:styleId="4">
    <w:name w:val="heading 3"/>
    <w:basedOn w:val="1"/>
    <w:next w:val="1"/>
    <w:link w:val="29"/>
    <w:unhideWhenUsed/>
    <w:qFormat/>
    <w:uiPriority w:val="0"/>
    <w:pPr>
      <w:keepNext/>
      <w:keepLines/>
      <w:spacing w:before="50" w:beforeLines="50" w:after="50" w:afterLines="50"/>
      <w:outlineLvl w:val="2"/>
    </w:p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Date"/>
    <w:basedOn w:val="1"/>
    <w:next w:val="1"/>
    <w:link w:val="24"/>
    <w:uiPriority w:val="0"/>
    <w:pPr>
      <w:ind w:left="100" w:leftChars="2500"/>
    </w:pPr>
  </w:style>
  <w:style w:type="paragraph" w:styleId="6">
    <w:name w:val="footer"/>
    <w:basedOn w:val="1"/>
    <w:link w:val="26"/>
    <w:uiPriority w:val="0"/>
    <w:pPr>
      <w:tabs>
        <w:tab w:val="center" w:pos="4153"/>
        <w:tab w:val="right" w:pos="8306"/>
      </w:tabs>
    </w:pPr>
    <w:rPr>
      <w:sz w:val="18"/>
      <w:szCs w:val="18"/>
    </w:rPr>
  </w:style>
  <w:style w:type="paragraph" w:styleId="7">
    <w:name w:val="header"/>
    <w:basedOn w:val="1"/>
    <w:link w:val="25"/>
    <w:uiPriority w:val="0"/>
    <w:pPr>
      <w:pBdr>
        <w:bottom w:val="single" w:color="auto" w:sz="6" w:space="1"/>
      </w:pBdr>
      <w:tabs>
        <w:tab w:val="center" w:pos="4153"/>
        <w:tab w:val="right" w:pos="8306"/>
      </w:tabs>
      <w:jc w:val="center"/>
    </w:pPr>
    <w:rPr>
      <w:sz w:val="18"/>
      <w:szCs w:val="18"/>
    </w:rPr>
  </w:style>
  <w:style w:type="paragraph" w:styleId="8">
    <w:name w:val="toc 1"/>
    <w:basedOn w:val="1"/>
    <w:next w:val="1"/>
    <w:autoRedefine/>
    <w:unhideWhenUsed/>
    <w:uiPriority w:val="39"/>
    <w:pPr>
      <w:tabs>
        <w:tab w:val="right" w:leader="dot" w:pos="9344"/>
      </w:tabs>
      <w:kinsoku/>
      <w:autoSpaceDE/>
      <w:autoSpaceDN/>
      <w:snapToGrid/>
      <w:spacing w:line="400" w:lineRule="exact"/>
      <w:ind w:firstLine="420" w:firstLineChars="0"/>
      <w:jc w:val="both"/>
      <w:textAlignment w:val="auto"/>
    </w:pPr>
    <w:rPr>
      <w:rFonts w:ascii="宋体" w:hAnsi="Calibri" w:cs="Times New Roman"/>
      <w:snapToGrid/>
      <w:color w:val="auto"/>
      <w:kern w:val="2"/>
      <w:lang w:eastAsia="zh-CN"/>
    </w:rPr>
  </w:style>
  <w:style w:type="character" w:styleId="11">
    <w:name w:val="Hyperlink"/>
    <w:uiPriority w:val="99"/>
    <w:rPr>
      <w:rFonts w:ascii="宋体" w:hAnsi="Times New Roman" w:eastAsia="宋体"/>
      <w:color w:val="auto"/>
      <w:spacing w:val="0"/>
      <w:w w:val="100"/>
      <w:position w:val="0"/>
      <w:sz w:val="21"/>
      <w:u w:val="none"/>
      <w:vertAlign w:val="baseline"/>
    </w:rPr>
  </w:style>
  <w:style w:type="paragraph" w:customStyle="1" w:styleId="12">
    <w:name w:val="Revision"/>
    <w:hidden/>
    <w:unhideWhenUsed/>
    <w:uiPriority w:val="99"/>
    <w:rPr>
      <w:rFonts w:ascii="Arial" w:hAnsi="Arial" w:eastAsia="宋体" w:cs="Arial"/>
      <w:snapToGrid w:val="0"/>
      <w:color w:val="000000"/>
      <w:sz w:val="21"/>
      <w:szCs w:val="21"/>
      <w:lang w:val="en-US" w:eastAsia="en-US" w:bidi="ar-SA"/>
    </w:rPr>
  </w:style>
  <w:style w:type="paragraph" w:customStyle="1" w:styleId="13">
    <w:name w:val="标准文件_段"/>
    <w:link w:val="14"/>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准文件_段 Char"/>
    <w:link w:val="13"/>
    <w:qFormat/>
    <w:uiPriority w:val="0"/>
    <w:rPr>
      <w:rFonts w:ascii="宋体" w:hAnsi="Times New Roman" w:eastAsia="宋体" w:cs="Times New Roman"/>
      <w:sz w:val="21"/>
    </w:rPr>
  </w:style>
  <w:style w:type="paragraph" w:customStyle="1" w:styleId="15">
    <w:name w:val="标准文件_二级条标题"/>
    <w:next w:val="13"/>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6">
    <w:name w:val="标准文件_三级条标题"/>
    <w:basedOn w:val="15"/>
    <w:next w:val="13"/>
    <w:uiPriority w:val="0"/>
    <w:pPr>
      <w:widowControl/>
      <w:numPr>
        <w:ilvl w:val="4"/>
      </w:numPr>
      <w:outlineLvl w:val="3"/>
    </w:pPr>
  </w:style>
  <w:style w:type="paragraph" w:customStyle="1" w:styleId="17">
    <w:name w:val="标准文件_四级条标题"/>
    <w:next w:val="13"/>
    <w:uiPriority w:val="0"/>
    <w:pPr>
      <w:widowControl w:val="0"/>
      <w:numPr>
        <w:ilvl w:val="5"/>
        <w:numId w:val="1"/>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8">
    <w:name w:val="标准文件_五级条标题"/>
    <w:next w:val="13"/>
    <w:qFormat/>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9">
    <w:name w:val="标准文件_章标题"/>
    <w:next w:val="13"/>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0">
    <w:name w:val="标准文件_一级条标题"/>
    <w:basedOn w:val="19"/>
    <w:next w:val="13"/>
    <w:uiPriority w:val="0"/>
    <w:pPr>
      <w:numPr>
        <w:ilvl w:val="2"/>
      </w:numPr>
      <w:spacing w:before="50" w:beforeLines="50" w:after="50" w:afterLines="50"/>
      <w:outlineLvl w:val="1"/>
    </w:pPr>
  </w:style>
  <w:style w:type="paragraph" w:customStyle="1" w:styleId="21">
    <w:name w:val="前言标题"/>
    <w:next w:val="1"/>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2">
    <w:name w:val="标准_参考文献条目"/>
    <w:basedOn w:val="1"/>
    <w:qFormat/>
    <w:uiPriority w:val="0"/>
    <w:pPr>
      <w:widowControl/>
      <w:numPr>
        <w:ilvl w:val="0"/>
        <w:numId w:val="2"/>
      </w:numPr>
      <w:kinsoku/>
      <w:autoSpaceDE/>
      <w:autoSpaceDN/>
      <w:adjustRightInd/>
      <w:snapToGrid/>
      <w:ind w:left="824" w:leftChars="200" w:firstLine="0" w:firstLineChars="0"/>
      <w:jc w:val="both"/>
      <w:textAlignment w:val="auto"/>
    </w:pPr>
    <w:rPr>
      <w:rFonts w:ascii="宋体" w:hAnsi="Times New Roman" w:cstheme="minorBidi"/>
      <w:snapToGrid/>
      <w:lang w:eastAsia="zh-CN"/>
    </w:rPr>
  </w:style>
  <w:style w:type="paragraph" w:styleId="23">
    <w:name w:val="List Paragraph"/>
    <w:basedOn w:val="1"/>
    <w:unhideWhenUsed/>
    <w:uiPriority w:val="99"/>
    <w:pPr>
      <w:ind w:firstLine="420"/>
    </w:pPr>
  </w:style>
  <w:style w:type="character" w:customStyle="1" w:styleId="24">
    <w:name w:val="日期 Char"/>
    <w:basedOn w:val="10"/>
    <w:link w:val="5"/>
    <w:uiPriority w:val="0"/>
    <w:rPr>
      <w:rFonts w:ascii="Arial" w:hAnsi="Arial" w:eastAsia="宋体" w:cs="Arial"/>
      <w:snapToGrid w:val="0"/>
      <w:color w:val="000000"/>
      <w:sz w:val="21"/>
      <w:szCs w:val="21"/>
      <w:lang w:eastAsia="en-US"/>
    </w:rPr>
  </w:style>
  <w:style w:type="character" w:customStyle="1" w:styleId="25">
    <w:name w:val="页眉 Char"/>
    <w:basedOn w:val="10"/>
    <w:link w:val="7"/>
    <w:uiPriority w:val="0"/>
    <w:rPr>
      <w:rFonts w:ascii="Arial" w:hAnsi="Arial" w:eastAsia="宋体" w:cs="Arial"/>
      <w:snapToGrid w:val="0"/>
      <w:color w:val="000000"/>
      <w:sz w:val="18"/>
      <w:szCs w:val="18"/>
      <w:lang w:eastAsia="en-US"/>
    </w:rPr>
  </w:style>
  <w:style w:type="character" w:customStyle="1" w:styleId="26">
    <w:name w:val="页脚 Char"/>
    <w:basedOn w:val="10"/>
    <w:link w:val="6"/>
    <w:uiPriority w:val="0"/>
    <w:rPr>
      <w:rFonts w:ascii="Arial" w:hAnsi="Arial" w:eastAsia="宋体" w:cs="Arial"/>
      <w:snapToGrid w:val="0"/>
      <w:color w:val="000000"/>
      <w:sz w:val="18"/>
      <w:szCs w:val="18"/>
      <w:lang w:eastAsia="en-US"/>
    </w:rPr>
  </w:style>
  <w:style w:type="character" w:customStyle="1" w:styleId="27">
    <w:name w:val="标题 1 Char"/>
    <w:basedOn w:val="10"/>
    <w:link w:val="2"/>
    <w:uiPriority w:val="0"/>
    <w:rPr>
      <w:rFonts w:ascii="Arial" w:hAnsi="Arial" w:eastAsia="黑体" w:cs="Arial"/>
      <w:b/>
      <w:snapToGrid w:val="0"/>
      <w:color w:val="000000"/>
      <w:kern w:val="44"/>
      <w:sz w:val="21"/>
      <w:szCs w:val="21"/>
      <w:lang w:eastAsia="en-US"/>
    </w:rPr>
  </w:style>
  <w:style w:type="character" w:customStyle="1" w:styleId="28">
    <w:name w:val="标题 2 Char"/>
    <w:basedOn w:val="10"/>
    <w:link w:val="3"/>
    <w:uiPriority w:val="0"/>
    <w:rPr>
      <w:rFonts w:ascii="Arial" w:hAnsi="Arial" w:eastAsia="黑体" w:cs="Arial"/>
      <w:b/>
      <w:snapToGrid w:val="0"/>
      <w:color w:val="000000"/>
      <w:sz w:val="21"/>
      <w:szCs w:val="21"/>
      <w:lang w:eastAsia="en-US"/>
    </w:rPr>
  </w:style>
  <w:style w:type="character" w:customStyle="1" w:styleId="29">
    <w:name w:val="标题 3 Char"/>
    <w:basedOn w:val="10"/>
    <w:link w:val="4"/>
    <w:uiPriority w:val="0"/>
    <w:rPr>
      <w:rFonts w:ascii="Arial" w:hAnsi="Arial" w:eastAsia="宋体" w:cs="Arial"/>
      <w:snapToGrid w:val="0"/>
      <w:color w:val="00000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5506</Words>
  <Characters>6506</Characters>
  <Lines>48</Lines>
  <Paragraphs>13</Paragraphs>
  <TotalTime>20</TotalTime>
  <ScaleCrop>false</ScaleCrop>
  <LinksUpToDate>false</LinksUpToDate>
  <CharactersWithSpaces>6759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2025-02-25T09:56:00Z</dcterms:created>
  <dc:creator>MSI</dc:creator>
  <cp:lastModifiedBy>aa</cp:lastModifiedBy>
  <dcterms:modified xsi:type="dcterms:W3CDTF">2025-03-27T01:55:35Z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A709B32AB7EB461ABA7474C5E2E82E6E_13</vt:lpwstr>
  </property>
  <property fmtid="{D5CDD505-2E9C-101B-9397-08002B2CF9AE}" pid="4" name="KSOTemplateDocerSaveRecord">
    <vt:lpwstr>eyJoZGlkIjoiYzdmYTM1MmY2MjRjODIxY2UzNjkzY2FlMzEyMDMwNWQifQ==</vt:lpwstr>
  </property>
</Properties>
</file>