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7876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73874DAF">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8BC369A">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73.040</w:t>
            </w:r>
            <w:r>
              <w:rPr>
                <w:rFonts w:ascii="黑体" w:hAnsi="黑体" w:eastAsia="黑体"/>
                <w:sz w:val="21"/>
                <w:szCs w:val="21"/>
              </w:rPr>
              <w:fldChar w:fldCharType="end"/>
            </w:r>
            <w:bookmarkEnd w:id="0"/>
          </w:p>
        </w:tc>
      </w:tr>
      <w:tr w14:paraId="1C7F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09B2E4A">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76B5C6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5C4B7F9C">
                  <w:pPr>
                    <w:pStyle w:val="52"/>
                    <w:framePr w:wrap="notBeside" w:vAnchor="page" w:hAnchor="page" w:x="1372" w:y="568"/>
                    <w:ind w:left="420" w:right="624"/>
                    <w:rPr>
                      <w:rFonts w:hint="eastAsia" w:ascii="宋体" w:hAnsi="宋体"/>
                      <w:sz w:val="28"/>
                      <w:szCs w:val="28"/>
                    </w:rPr>
                  </w:pPr>
                  <w:r>
                    <w:rPr>
                      <w:sz w:val="21"/>
                      <w:szCs w:val="21"/>
                    </w:rPr>
                    <w:t xml:space="preserve"> </w:t>
                  </w:r>
                </w:p>
              </w:tc>
            </w:tr>
          </w:tbl>
          <w:p w14:paraId="4CC429AA">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D21</w:t>
            </w:r>
            <w:r>
              <w:rPr>
                <w:rFonts w:ascii="黑体" w:hAnsi="黑体" w:eastAsia="黑体"/>
                <w:sz w:val="21"/>
                <w:szCs w:val="21"/>
              </w:rPr>
              <w:fldChar w:fldCharType="end"/>
            </w:r>
            <w:bookmarkEnd w:id="1"/>
          </w:p>
        </w:tc>
      </w:tr>
    </w:tbl>
    <w:p w14:paraId="59E9FD63">
      <w:pPr>
        <w:pStyle w:val="53"/>
        <w:framePr w:w="9639" w:h="1157" w:hRule="exact" w:hSpace="181" w:vSpace="181" w:wrap="around" w:hAnchor="page" w:x="1293" w:y="1876"/>
        <w:rPr>
          <w:rFonts w:hint="eastAsia" w:ascii="黑体" w:hAnsi="黑体" w:eastAsia="黑体"/>
          <w:b w:val="0"/>
          <w:bCs w:val="0"/>
          <w:w w:val="100"/>
          <w:sz w:val="72"/>
          <w:szCs w:val="72"/>
        </w:rPr>
      </w:pPr>
      <w:bookmarkStart w:id="2" w:name="_Hlk26473981"/>
      <w:r>
        <w:rPr>
          <w:rFonts w:hint="eastAsia" w:ascii="黑体" w:eastAsia="黑体"/>
          <w:b w:val="0"/>
          <w:w w:val="100"/>
          <w:sz w:val="72"/>
          <w:szCs w:val="24"/>
        </w:rPr>
        <w:t>团体</w:t>
      </w:r>
      <w:r>
        <w:rPr>
          <w:rFonts w:hint="eastAsia" w:ascii="黑体" w:hAnsi="黑体" w:eastAsia="黑体"/>
          <w:b w:val="0"/>
          <w:bCs w:val="0"/>
          <w:w w:val="100"/>
          <w:sz w:val="72"/>
          <w:szCs w:val="72"/>
        </w:rPr>
        <w:t>标准</w:t>
      </w:r>
    </w:p>
    <w:bookmarkEnd w:id="2"/>
    <w:p w14:paraId="00AAAC24">
      <w:pPr>
        <w:pStyle w:val="198"/>
        <w:framePr/>
      </w:pPr>
      <w:r>
        <w:t>P/</w:t>
      </w:r>
      <w:r>
        <w:fldChar w:fldCharType="begin">
          <w:ffData>
            <w:name w:val="文字1"/>
            <w:enabled/>
            <w:calcOnExit w:val="0"/>
            <w:textInput>
              <w:default w:val="XXX"/>
            </w:textInput>
          </w:ffData>
        </w:fldChar>
      </w:r>
      <w:bookmarkStart w:id="3" w:name="文字1"/>
      <w:r>
        <w:instrText xml:space="preserve"> FORMTEXT </w:instrText>
      </w:r>
      <w:r>
        <w:fldChar w:fldCharType="separate"/>
      </w:r>
      <w:r>
        <w:t>CIQA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-1</w:t>
      </w:r>
      <w:r>
        <w:rPr>
          <w:rFonts w:hint="eastAsia"/>
        </w:rPr>
        <w:t>75</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4</w:t>
      </w:r>
      <w:r>
        <w:fldChar w:fldCharType="end"/>
      </w:r>
      <w:bookmarkEnd w:id="5"/>
    </w:p>
    <w:p w14:paraId="2E9A8725">
      <w:pPr>
        <w:pStyle w:val="199"/>
        <w:framePr/>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793F5468">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D960771">
      <w:pPr>
        <w:pStyle w:val="53"/>
        <w:framePr w:w="9639" w:h="6976" w:hRule="exact" w:hSpace="0" w:vSpace="0" w:wrap="around" w:hAnchor="page" w:y="6408"/>
        <w:jc w:val="center"/>
        <w:rPr>
          <w:rFonts w:hint="eastAsia" w:ascii="黑体" w:hAnsi="黑体" w:eastAsia="黑体"/>
          <w:b w:val="0"/>
          <w:bCs w:val="0"/>
          <w:w w:val="100"/>
        </w:rPr>
      </w:pPr>
    </w:p>
    <w:p w14:paraId="4FA83A44">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煤炭品质快速测定 近红外光谱法</w:t>
      </w:r>
      <w:r>
        <w:fldChar w:fldCharType="end"/>
      </w:r>
      <w:bookmarkEnd w:id="7"/>
    </w:p>
    <w:p w14:paraId="03D00FBC">
      <w:pPr>
        <w:framePr w:w="9639" w:h="6974" w:hRule="exact" w:wrap="around" w:vAnchor="page" w:hAnchor="page" w:x="1419" w:y="6408" w:anchorLock="1"/>
        <w:ind w:left="-1418"/>
      </w:pPr>
    </w:p>
    <w:p w14:paraId="5FF84848">
      <w:pPr>
        <w:pStyle w:val="128"/>
        <w:framePr w:w="9639" w:h="6974" w:hRule="exact" w:wrap="around" w:vAnchor="page" w:hAnchor="page" w:x="1419" w:y="6408" w:anchorLock="1"/>
        <w:textAlignment w:val="bottom"/>
        <w:rPr>
          <w:rFonts w:hint="eastAsia"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Rapid Determination of Coal Quality Using Near-infrared Spectroscopy</w:t>
      </w:r>
      <w:r>
        <w:rPr>
          <w:rFonts w:ascii="黑体" w:hAnsi="黑体" w:eastAsia="黑体"/>
          <w:szCs w:val="28"/>
        </w:rPr>
        <w:fldChar w:fldCharType="end"/>
      </w:r>
      <w:bookmarkEnd w:id="8"/>
    </w:p>
    <w:p w14:paraId="52F9D9B5">
      <w:pPr>
        <w:framePr w:w="9639" w:h="6974" w:hRule="exact" w:wrap="around" w:vAnchor="page" w:hAnchor="page" w:x="1419" w:y="6408" w:anchorLock="1"/>
        <w:spacing w:line="760" w:lineRule="exact"/>
        <w:ind w:left="-1418"/>
      </w:pPr>
    </w:p>
    <w:p w14:paraId="5621CFA4">
      <w:pPr>
        <w:pStyle w:val="128"/>
        <w:framePr w:w="9639" w:h="6974" w:hRule="exact" w:wrap="around" w:vAnchor="page" w:hAnchor="page" w:x="1419" w:y="6408" w:anchorLock="1"/>
        <w:textAlignment w:val="bottom"/>
        <w:rPr>
          <w:rFonts w:eastAsia="黑体"/>
          <w:szCs w:val="28"/>
        </w:rPr>
      </w:pPr>
    </w:p>
    <w:p w14:paraId="6A27AD14">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0F27C4B1">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03B16769">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47D8E7F5">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7478069">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D163741">
      <w:pPr>
        <w:pStyle w:val="154"/>
        <w:framePr w:h="584" w:hRule="exact" w:hSpace="181" w:vSpace="181" w:wrap="around" w:y="14800"/>
        <w:rPr>
          <w:rFonts w:hint="eastAsia" w:hAnsi="黑体"/>
        </w:rPr>
      </w:pPr>
      <w:r>
        <w:rPr>
          <w:rFonts w:hint="eastAsia" w:hAnsi="黑体"/>
          <w:w w:val="100"/>
          <w:sz w:val="28"/>
        </w:rPr>
        <w:t>中国出入境检验检疫协会</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8527CCD">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F8A8330">
      <w:pPr>
        <w:pStyle w:val="92"/>
        <w:numPr>
          <w:ilvl w:val="0"/>
          <w:numId w:val="32"/>
        </w:numPr>
        <w:spacing w:after="360"/>
        <w:ind w:left="0" w:firstLine="0"/>
        <w:rPr>
          <w:spacing w:val="320"/>
        </w:rPr>
      </w:pPr>
      <w:bookmarkStart w:id="18" w:name="BookMark2"/>
      <w:r>
        <w:rPr>
          <w:spacing w:val="320"/>
        </w:rPr>
        <w:t>前</w:t>
      </w:r>
      <w:r>
        <w:t>言</w:t>
      </w:r>
    </w:p>
    <w:p w14:paraId="6FD7A38C">
      <w:pPr>
        <w:pStyle w:val="59"/>
        <w:ind w:firstLine="420"/>
      </w:pPr>
      <w:r>
        <w:rPr>
          <w:rFonts w:hint="eastAsia"/>
        </w:rPr>
        <w:t>本文件按照GB/T 1.1—2020《标准化工作导则  第1部分：标准化文件的结构和起草规则》的规定起草。</w:t>
      </w:r>
    </w:p>
    <w:p w14:paraId="3EAA2D44">
      <w:pPr>
        <w:pStyle w:val="59"/>
        <w:ind w:firstLine="420"/>
      </w:pPr>
      <w:r>
        <w:rPr>
          <w:rFonts w:hint="eastAsia"/>
        </w:rPr>
        <w:t>请注意本文件的某些内容可能涉及专利。本文件的发布机构不承担识别专利的责任。</w:t>
      </w:r>
    </w:p>
    <w:p w14:paraId="219769D7">
      <w:pPr>
        <w:pStyle w:val="59"/>
        <w:ind w:firstLine="420"/>
      </w:pPr>
      <w:r>
        <w:rPr>
          <w:rFonts w:hint="eastAsia"/>
        </w:rPr>
        <w:t>本文件由中国出入境检验检疫协会综合质量服务标准化技术委员会（CIQA/TC12）提出并归口。</w:t>
      </w:r>
    </w:p>
    <w:p w14:paraId="48C4124E">
      <w:pPr>
        <w:pStyle w:val="59"/>
        <w:ind w:firstLine="420"/>
      </w:pPr>
      <w:r>
        <w:rPr>
          <w:rFonts w:hint="eastAsia"/>
        </w:rPr>
        <w:t>本文件起草单位：中国检验认证集团河北有限公司。</w:t>
      </w:r>
    </w:p>
    <w:p w14:paraId="24FF12D4">
      <w:pPr>
        <w:pStyle w:val="59"/>
        <w:ind w:firstLine="420"/>
      </w:pPr>
      <w:r>
        <w:rPr>
          <w:rFonts w:hint="eastAsia"/>
        </w:rPr>
        <w:t>本文件参与单位：XXX。</w:t>
      </w:r>
    </w:p>
    <w:p w14:paraId="68821658">
      <w:pPr>
        <w:pStyle w:val="59"/>
        <w:ind w:firstLine="420"/>
      </w:pPr>
      <w:r>
        <w:rPr>
          <w:rFonts w:hint="eastAsia"/>
        </w:rPr>
        <w:t>本文件主要起草人：XXX、XXX、XXX、XXX。</w:t>
      </w:r>
    </w:p>
    <w:p w14:paraId="61A02B2C">
      <w:pPr>
        <w:pStyle w:val="59"/>
        <w:ind w:firstLine="420"/>
      </w:pPr>
      <w:r>
        <w:rPr>
          <w:rFonts w:hint="eastAsia"/>
        </w:rPr>
        <w:t>本文件版权归中国出入境检验检疫协会所有。任何单位或个人未经许可，不得以营利为目的，印制、出版、翻译、转发或复制全文或部分文字。</w:t>
      </w:r>
    </w:p>
    <w:p w14:paraId="58A524D4">
      <w:pPr>
        <w:pStyle w:val="59"/>
        <w:ind w:firstLine="420"/>
      </w:pPr>
      <w:r>
        <w:rPr>
          <w:rFonts w:hint="eastAsia"/>
        </w:rPr>
        <w:t>本文件是首次发布。</w:t>
      </w:r>
    </w:p>
    <w:p w14:paraId="5282BDCB">
      <w:pPr>
        <w:pStyle w:val="59"/>
        <w:ind w:firstLine="420"/>
        <w:rPr>
          <w:rFonts w:ascii="Calibri" w:hAnsi="Calibri"/>
          <w:kern w:val="2"/>
          <w:szCs w:val="21"/>
        </w:rPr>
      </w:pPr>
    </w:p>
    <w:p w14:paraId="7CB7FA58">
      <w:pPr>
        <w:pStyle w:val="59"/>
        <w:ind w:firstLine="420"/>
        <w:rPr>
          <w:rFonts w:ascii="Calibri" w:hAnsi="Calibri"/>
          <w:kern w:val="2"/>
          <w:szCs w:val="21"/>
        </w:rPr>
      </w:pPr>
    </w:p>
    <w:p w14:paraId="390C0DDC">
      <w:pPr>
        <w:pStyle w:val="59"/>
        <w:ind w:firstLine="420"/>
        <w:rPr>
          <w:rFonts w:ascii="Calibri" w:hAnsi="Calibri"/>
          <w:kern w:val="2"/>
          <w:szCs w:val="21"/>
        </w:rPr>
      </w:pPr>
    </w:p>
    <w:p w14:paraId="1E7C8F8F">
      <w:pPr>
        <w:pStyle w:val="59"/>
        <w:ind w:firstLine="420"/>
        <w:rPr>
          <w:rFonts w:ascii="Calibri" w:hAnsi="Calibri"/>
          <w:kern w:val="2"/>
          <w:szCs w:val="21"/>
        </w:rPr>
      </w:pPr>
    </w:p>
    <w:p w14:paraId="2B9C243D">
      <w:pPr>
        <w:pStyle w:val="59"/>
        <w:ind w:firstLine="420"/>
        <w:rPr>
          <w:rFonts w:ascii="Calibri" w:hAnsi="Calibri"/>
          <w:kern w:val="2"/>
          <w:szCs w:val="21"/>
        </w:rPr>
      </w:pPr>
    </w:p>
    <w:p w14:paraId="2026EFFC">
      <w:pPr>
        <w:pStyle w:val="59"/>
        <w:ind w:firstLine="420"/>
        <w:rPr>
          <w:rFonts w:ascii="Calibri" w:hAnsi="Calibri"/>
          <w:kern w:val="2"/>
          <w:szCs w:val="21"/>
        </w:rPr>
      </w:pPr>
    </w:p>
    <w:p w14:paraId="10D15664">
      <w:pPr>
        <w:pStyle w:val="59"/>
        <w:ind w:firstLine="420"/>
        <w:rPr>
          <w:rFonts w:ascii="Calibri" w:hAnsi="Calibri"/>
          <w:kern w:val="2"/>
          <w:szCs w:val="21"/>
        </w:rPr>
      </w:pPr>
    </w:p>
    <w:p w14:paraId="49EBE483">
      <w:pPr>
        <w:pStyle w:val="59"/>
        <w:ind w:firstLine="420"/>
        <w:rPr>
          <w:rFonts w:ascii="Calibri" w:hAnsi="Calibri"/>
          <w:kern w:val="2"/>
          <w:szCs w:val="21"/>
        </w:rPr>
      </w:pPr>
    </w:p>
    <w:p w14:paraId="79AA598A">
      <w:pPr>
        <w:pStyle w:val="59"/>
        <w:ind w:firstLine="420"/>
        <w:rPr>
          <w:rFonts w:ascii="Calibri" w:hAnsi="Calibri"/>
          <w:kern w:val="2"/>
          <w:szCs w:val="21"/>
        </w:rPr>
      </w:pPr>
    </w:p>
    <w:p w14:paraId="173A0F2D">
      <w:pPr>
        <w:pStyle w:val="59"/>
        <w:ind w:firstLine="420"/>
        <w:rPr>
          <w:rFonts w:ascii="Calibri" w:hAnsi="Calibri"/>
          <w:kern w:val="2"/>
          <w:szCs w:val="21"/>
        </w:rPr>
      </w:pPr>
    </w:p>
    <w:p w14:paraId="2964F78F">
      <w:pPr>
        <w:pStyle w:val="59"/>
        <w:ind w:firstLine="420"/>
        <w:rPr>
          <w:rFonts w:ascii="Calibri" w:hAnsi="Calibri"/>
          <w:kern w:val="2"/>
          <w:szCs w:val="21"/>
        </w:rPr>
      </w:pPr>
    </w:p>
    <w:p w14:paraId="2179E3FF">
      <w:pPr>
        <w:pStyle w:val="59"/>
        <w:ind w:firstLine="420"/>
        <w:rPr>
          <w:rFonts w:ascii="Calibri" w:hAnsi="Calibri"/>
          <w:kern w:val="2"/>
          <w:szCs w:val="21"/>
        </w:rPr>
      </w:pPr>
    </w:p>
    <w:p w14:paraId="5C2C6635">
      <w:pPr>
        <w:pStyle w:val="59"/>
        <w:ind w:firstLine="420"/>
        <w:rPr>
          <w:rFonts w:ascii="Calibri" w:hAnsi="Calibri"/>
          <w:kern w:val="2"/>
          <w:szCs w:val="21"/>
        </w:rPr>
      </w:pPr>
    </w:p>
    <w:p w14:paraId="2E59DE6A">
      <w:pPr>
        <w:pStyle w:val="59"/>
        <w:ind w:firstLine="420"/>
        <w:rPr>
          <w:rFonts w:ascii="Calibri" w:hAnsi="Calibri"/>
          <w:kern w:val="2"/>
          <w:szCs w:val="21"/>
        </w:rPr>
      </w:pPr>
    </w:p>
    <w:p w14:paraId="48B65635">
      <w:pPr>
        <w:pStyle w:val="59"/>
        <w:ind w:firstLine="420"/>
        <w:rPr>
          <w:rFonts w:ascii="Calibri" w:hAnsi="Calibri"/>
          <w:kern w:val="2"/>
          <w:szCs w:val="21"/>
        </w:rPr>
      </w:pPr>
    </w:p>
    <w:p w14:paraId="161616F5">
      <w:pPr>
        <w:pStyle w:val="59"/>
        <w:ind w:firstLine="420"/>
        <w:rPr>
          <w:rFonts w:ascii="Calibri" w:hAnsi="Calibri"/>
          <w:kern w:val="2"/>
          <w:szCs w:val="21"/>
        </w:rPr>
      </w:pPr>
    </w:p>
    <w:p w14:paraId="687B7777">
      <w:pPr>
        <w:pStyle w:val="59"/>
        <w:ind w:firstLine="420"/>
        <w:rPr>
          <w:rFonts w:ascii="Calibri" w:hAnsi="Calibri"/>
          <w:kern w:val="2"/>
          <w:szCs w:val="21"/>
        </w:rPr>
      </w:pPr>
    </w:p>
    <w:p w14:paraId="63A2EE7D">
      <w:pPr>
        <w:pStyle w:val="59"/>
        <w:ind w:firstLine="420"/>
        <w:rPr>
          <w:rFonts w:ascii="Calibri" w:hAnsi="Calibri"/>
          <w:kern w:val="2"/>
          <w:szCs w:val="21"/>
        </w:rPr>
      </w:pPr>
    </w:p>
    <w:p w14:paraId="7CA41E94">
      <w:pPr>
        <w:pStyle w:val="59"/>
        <w:ind w:firstLine="420"/>
        <w:rPr>
          <w:rFonts w:ascii="Calibri" w:hAnsi="Calibri"/>
          <w:kern w:val="2"/>
          <w:szCs w:val="21"/>
        </w:rPr>
      </w:pPr>
    </w:p>
    <w:p w14:paraId="3F36068E">
      <w:pPr>
        <w:pStyle w:val="59"/>
        <w:ind w:firstLine="420"/>
        <w:rPr>
          <w:rFonts w:ascii="Calibri" w:hAnsi="Calibri"/>
          <w:kern w:val="2"/>
          <w:szCs w:val="21"/>
        </w:rPr>
      </w:pPr>
    </w:p>
    <w:p w14:paraId="16A659EB">
      <w:pPr>
        <w:pStyle w:val="59"/>
        <w:ind w:firstLine="420"/>
        <w:rPr>
          <w:rFonts w:ascii="Calibri" w:hAnsi="Calibri"/>
          <w:kern w:val="2"/>
          <w:szCs w:val="21"/>
        </w:rPr>
      </w:pPr>
    </w:p>
    <w:p w14:paraId="06D4482B">
      <w:pPr>
        <w:pStyle w:val="59"/>
        <w:ind w:firstLine="420"/>
        <w:rPr>
          <w:rFonts w:ascii="Calibri" w:hAnsi="Calibri"/>
          <w:kern w:val="2"/>
          <w:szCs w:val="21"/>
        </w:rPr>
      </w:pPr>
    </w:p>
    <w:p w14:paraId="18E14B27">
      <w:pPr>
        <w:pStyle w:val="59"/>
        <w:ind w:firstLine="420"/>
        <w:rPr>
          <w:rFonts w:ascii="Calibri" w:hAnsi="Calibri"/>
          <w:kern w:val="2"/>
          <w:szCs w:val="21"/>
        </w:rPr>
      </w:pPr>
    </w:p>
    <w:p w14:paraId="160CCD1F">
      <w:pPr>
        <w:pStyle w:val="59"/>
        <w:ind w:firstLine="420"/>
        <w:rPr>
          <w:rFonts w:ascii="Calibri" w:hAnsi="Calibri"/>
          <w:kern w:val="2"/>
          <w:szCs w:val="21"/>
        </w:rPr>
      </w:pPr>
    </w:p>
    <w:p w14:paraId="0425C959">
      <w:pPr>
        <w:pStyle w:val="59"/>
        <w:ind w:firstLine="420"/>
        <w:rPr>
          <w:rFonts w:ascii="Calibri" w:hAnsi="Calibri"/>
          <w:kern w:val="2"/>
          <w:szCs w:val="21"/>
        </w:rPr>
      </w:pPr>
    </w:p>
    <w:p w14:paraId="38AA1FD1">
      <w:pPr>
        <w:pStyle w:val="59"/>
        <w:ind w:firstLine="420"/>
        <w:rPr>
          <w:rFonts w:ascii="Calibri" w:hAnsi="Calibri"/>
          <w:kern w:val="2"/>
          <w:szCs w:val="21"/>
        </w:rPr>
      </w:pPr>
    </w:p>
    <w:p w14:paraId="71936F83">
      <w:pPr>
        <w:pStyle w:val="59"/>
        <w:ind w:firstLine="420"/>
        <w:rPr>
          <w:rFonts w:ascii="Calibri" w:hAnsi="Calibri"/>
          <w:kern w:val="2"/>
          <w:szCs w:val="21"/>
        </w:rPr>
      </w:pPr>
    </w:p>
    <w:p w14:paraId="4029E595">
      <w:pPr>
        <w:pStyle w:val="59"/>
        <w:ind w:firstLine="420"/>
        <w:rPr>
          <w:rFonts w:ascii="Calibri" w:hAnsi="Calibri"/>
          <w:kern w:val="2"/>
          <w:szCs w:val="21"/>
        </w:rPr>
      </w:pPr>
    </w:p>
    <w:p w14:paraId="22595BAC">
      <w:pPr>
        <w:pStyle w:val="59"/>
        <w:ind w:firstLine="420"/>
        <w:rPr>
          <w:rFonts w:ascii="Calibri" w:hAnsi="Calibri"/>
          <w:kern w:val="2"/>
          <w:szCs w:val="21"/>
        </w:rPr>
      </w:pPr>
    </w:p>
    <w:p w14:paraId="591EA774">
      <w:pPr>
        <w:pStyle w:val="59"/>
        <w:ind w:firstLine="420"/>
        <w:rPr>
          <w:rFonts w:ascii="Calibri" w:hAnsi="Calibri"/>
          <w:kern w:val="2"/>
          <w:szCs w:val="21"/>
        </w:rPr>
      </w:pPr>
    </w:p>
    <w:p w14:paraId="080B0268">
      <w:pPr>
        <w:pStyle w:val="59"/>
        <w:ind w:firstLine="420"/>
        <w:rPr>
          <w:rFonts w:ascii="Calibri" w:hAnsi="Calibri"/>
          <w:kern w:val="2"/>
          <w:szCs w:val="21"/>
        </w:rPr>
      </w:pPr>
    </w:p>
    <w:p w14:paraId="29680D86">
      <w:pPr>
        <w:pStyle w:val="59"/>
        <w:ind w:firstLine="420"/>
        <w:rPr>
          <w:rFonts w:ascii="Calibri" w:hAnsi="Calibri"/>
          <w:kern w:val="2"/>
          <w:szCs w:val="21"/>
        </w:rPr>
      </w:pPr>
    </w:p>
    <w:p w14:paraId="17DB9AEF">
      <w:pPr>
        <w:pStyle w:val="59"/>
        <w:ind w:firstLine="420"/>
        <w:rPr>
          <w:rFonts w:ascii="Calibri" w:hAnsi="Calibri"/>
          <w:kern w:val="2"/>
          <w:szCs w:val="21"/>
        </w:rPr>
      </w:pPr>
    </w:p>
    <w:p w14:paraId="5ED380B7">
      <w:pPr>
        <w:pStyle w:val="59"/>
        <w:ind w:firstLine="420"/>
        <w:rPr>
          <w:rFonts w:ascii="Calibri" w:hAnsi="Calibri"/>
          <w:kern w:val="2"/>
          <w:szCs w:val="21"/>
        </w:rPr>
      </w:pPr>
    </w:p>
    <w:p w14:paraId="72FDC7AA">
      <w:pPr>
        <w:pStyle w:val="59"/>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18"/>
    <w:p w14:paraId="0CE1C723">
      <w:pPr>
        <w:spacing w:line="20" w:lineRule="exact"/>
        <w:jc w:val="center"/>
        <w:rPr>
          <w:rFonts w:hint="eastAsia" w:ascii="黑体" w:hAnsi="黑体" w:eastAsia="黑体"/>
          <w:sz w:val="32"/>
          <w:szCs w:val="32"/>
        </w:rPr>
      </w:pPr>
      <w:bookmarkStart w:id="19" w:name="BookMark4"/>
    </w:p>
    <w:p w14:paraId="4CA13F4A">
      <w:pPr>
        <w:spacing w:line="20" w:lineRule="exact"/>
        <w:jc w:val="center"/>
        <w:rPr>
          <w:rFonts w:hint="eastAsia" w:ascii="黑体" w:hAnsi="黑体" w:eastAsia="黑体"/>
          <w:sz w:val="32"/>
          <w:szCs w:val="32"/>
        </w:rPr>
      </w:pPr>
    </w:p>
    <w:sdt>
      <w:sdtPr>
        <w:tag w:val="NEW_STAND_NAME"/>
        <w:id w:val="595910757"/>
        <w:lock w:val="sdtLocked"/>
        <w:placeholder>
          <w:docPart w:val="65F3DBF90E7542518DDF3241C34F379A"/>
        </w:placeholder>
      </w:sdtPr>
      <w:sdtContent>
        <w:p w14:paraId="6105CEDA">
          <w:pPr>
            <w:pStyle w:val="180"/>
            <w:spacing w:before="2" w:beforeLines="1" w:after="528" w:afterLines="220"/>
            <w:rPr>
              <w:rFonts w:hint="eastAsia"/>
            </w:rPr>
          </w:pPr>
          <w:bookmarkStart w:id="20" w:name="_Hlk176947603"/>
          <w:bookmarkEnd w:id="20"/>
          <w:bookmarkStart w:id="21" w:name="NEW_STAND_NAME"/>
          <w:r>
            <w:rPr>
              <w:rFonts w:hint="eastAsia"/>
            </w:rPr>
            <w:t>煤炭品质快速测定 近红外光谱法</w:t>
          </w:r>
        </w:p>
      </w:sdtContent>
    </w:sdt>
    <w:bookmarkEnd w:id="21"/>
    <w:p w14:paraId="36DD5A49">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22" w:name="_Toc17233333"/>
      <w:bookmarkStart w:id="23" w:name="_Toc26718930"/>
      <w:bookmarkStart w:id="24" w:name="_Toc24884218"/>
      <w:bookmarkStart w:id="25" w:name="_Toc97192964"/>
      <w:bookmarkStart w:id="26" w:name="_Toc26986771"/>
      <w:bookmarkStart w:id="27" w:name="_Toc26648465"/>
      <w:bookmarkStart w:id="28" w:name="_Toc26986530"/>
      <w:bookmarkStart w:id="29" w:name="_Toc17233325"/>
      <w:bookmarkStart w:id="30" w:name="_Toc24884211"/>
      <w:bookmarkStart w:id="31" w:name="OLE_LINK73"/>
      <w:r>
        <w:rPr>
          <w:rFonts w:hint="eastAsia" w:ascii="黑体" w:hAnsi="Times New Roman" w:eastAsia="黑体"/>
          <w:kern w:val="0"/>
          <w:szCs w:val="20"/>
        </w:rPr>
        <w:t>范围</w:t>
      </w:r>
      <w:bookmarkEnd w:id="22"/>
      <w:bookmarkEnd w:id="23"/>
      <w:bookmarkEnd w:id="24"/>
      <w:bookmarkEnd w:id="25"/>
      <w:bookmarkEnd w:id="26"/>
      <w:bookmarkEnd w:id="27"/>
      <w:bookmarkEnd w:id="28"/>
      <w:bookmarkEnd w:id="29"/>
      <w:bookmarkEnd w:id="30"/>
    </w:p>
    <w:bookmarkEnd w:id="31"/>
    <w:p w14:paraId="64DD7B3C">
      <w:pPr>
        <w:pStyle w:val="59"/>
        <w:ind w:firstLine="420"/>
      </w:pPr>
      <w:bookmarkStart w:id="32" w:name="_Toc17233334"/>
      <w:bookmarkStart w:id="33" w:name="_Toc26648466"/>
      <w:bookmarkStart w:id="34" w:name="_Toc24884219"/>
      <w:bookmarkStart w:id="35" w:name="_Toc17233326"/>
      <w:bookmarkStart w:id="36" w:name="_Toc24884212"/>
      <w:bookmarkStart w:id="37" w:name="_Hlk152332633"/>
      <w:r>
        <w:rPr>
          <w:rFonts w:hint="eastAsia"/>
        </w:rPr>
        <w:t>本文件规定了采用近红外光谱法快速测定煤炭挥发分、硫和发热量的方法。</w:t>
      </w:r>
    </w:p>
    <w:p w14:paraId="1FCD8909">
      <w:pPr>
        <w:pStyle w:val="59"/>
        <w:ind w:firstLine="420"/>
      </w:pPr>
      <w:r>
        <w:rPr>
          <w:rFonts w:hint="eastAsia"/>
        </w:rPr>
        <w:t>本文件适用于煤炭挥发分、硫和发热量的快速测定。</w:t>
      </w:r>
    </w:p>
    <w:p w14:paraId="2B0EE8C0">
      <w:pPr>
        <w:pStyle w:val="59"/>
        <w:ind w:firstLine="420"/>
      </w:pPr>
      <w:r>
        <w:rPr>
          <w:rFonts w:hint="eastAsia"/>
        </w:rPr>
        <w:t>本文件不适用于仲裁检验。</w:t>
      </w:r>
    </w:p>
    <w:bookmarkEnd w:id="32"/>
    <w:bookmarkEnd w:id="33"/>
    <w:bookmarkEnd w:id="34"/>
    <w:bookmarkEnd w:id="35"/>
    <w:bookmarkEnd w:id="36"/>
    <w:bookmarkEnd w:id="37"/>
    <w:p w14:paraId="7603D65A">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38" w:name="_Toc97192965"/>
      <w:bookmarkStart w:id="39" w:name="_Toc26986531"/>
      <w:bookmarkStart w:id="40" w:name="_Toc26718931"/>
      <w:bookmarkStart w:id="41" w:name="_Toc26986772"/>
      <w:bookmarkStart w:id="42" w:name="_Hlk195802833"/>
      <w:bookmarkStart w:id="43" w:name="_Toc97192966"/>
      <w:r>
        <w:rPr>
          <w:rFonts w:hint="eastAsia" w:ascii="黑体" w:hAnsi="Times New Roman" w:eastAsia="黑体"/>
          <w:kern w:val="0"/>
          <w:szCs w:val="20"/>
        </w:rPr>
        <w:t>规范性引用文件</w:t>
      </w:r>
      <w:bookmarkEnd w:id="38"/>
      <w:bookmarkEnd w:id="39"/>
      <w:bookmarkEnd w:id="40"/>
      <w:bookmarkEnd w:id="41"/>
    </w:p>
    <w:bookmarkEnd w:id="42"/>
    <w:sdt>
      <w:sdtPr>
        <w:rPr>
          <w:rFonts w:hint="eastAsia"/>
        </w:rPr>
        <w:id w:val="715848253"/>
        <w:placeholder>
          <w:docPart w:val="3074609F2E0D4808985A73B6D007DA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C433B47">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45BA95">
      <w:pPr>
        <w:widowControl/>
        <w:autoSpaceDE w:val="0"/>
        <w:autoSpaceDN w:val="0"/>
        <w:adjustRightInd/>
        <w:spacing w:line="240" w:lineRule="auto"/>
        <w:ind w:firstLine="420" w:firstLineChars="200"/>
        <w:rPr>
          <w:rFonts w:ascii="宋体" w:hAnsi="Times New Roman"/>
          <w:kern w:val="0"/>
          <w:szCs w:val="20"/>
        </w:rPr>
      </w:pPr>
      <w:bookmarkStart w:id="44" w:name="OLE_LINK41"/>
      <w:bookmarkStart w:id="45" w:name="_Hlk178174756"/>
      <w:bookmarkStart w:id="46" w:name="_Hlk178173701"/>
      <w:r>
        <w:rPr>
          <w:rFonts w:ascii="Times New Roman" w:hAnsi="Times New Roman"/>
          <w:kern w:val="0"/>
          <w:szCs w:val="20"/>
        </w:rPr>
        <w:t>GB/T 212</w:t>
      </w:r>
      <w:r>
        <w:rPr>
          <w:rFonts w:hint="eastAsia" w:ascii="Times New Roman" w:hAnsi="Times New Roman"/>
          <w:kern w:val="0"/>
          <w:szCs w:val="20"/>
          <w:lang w:val="en-US" w:eastAsia="zh-CN"/>
        </w:rPr>
        <w:t>-2008</w:t>
      </w:r>
      <w:r>
        <w:rPr>
          <w:rFonts w:hint="eastAsia" w:ascii="宋体" w:hAnsi="Times New Roman"/>
          <w:kern w:val="0"/>
          <w:szCs w:val="20"/>
        </w:rPr>
        <w:t xml:space="preserve"> 煤的工业分析方法</w:t>
      </w:r>
    </w:p>
    <w:p w14:paraId="3013AAEA">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213</w:t>
      </w:r>
      <w:r>
        <w:rPr>
          <w:rFonts w:hint="eastAsia" w:ascii="Times New Roman" w:hAnsi="Times New Roman"/>
          <w:kern w:val="0"/>
          <w:szCs w:val="20"/>
          <w:lang w:val="en-US" w:eastAsia="zh-CN"/>
        </w:rPr>
        <w:t>-2008</w:t>
      </w:r>
      <w:r>
        <w:rPr>
          <w:rFonts w:hint="eastAsia" w:ascii="宋体" w:hAnsi="Times New Roman"/>
          <w:kern w:val="0"/>
          <w:szCs w:val="20"/>
        </w:rPr>
        <w:t xml:space="preserve"> 煤的发热量测定方法</w:t>
      </w:r>
    </w:p>
    <w:bookmarkEnd w:id="44"/>
    <w:p w14:paraId="7D90A31A">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214</w:t>
      </w:r>
      <w:r>
        <w:rPr>
          <w:rFonts w:hint="eastAsia" w:ascii="Times New Roman" w:hAnsi="Times New Roman"/>
          <w:kern w:val="0"/>
          <w:szCs w:val="20"/>
          <w:lang w:val="en-US" w:eastAsia="zh-CN"/>
        </w:rPr>
        <w:t>-2007</w:t>
      </w:r>
      <w:r>
        <w:rPr>
          <w:rFonts w:hint="eastAsia" w:ascii="宋体" w:hAnsi="Times New Roman"/>
          <w:kern w:val="0"/>
          <w:szCs w:val="20"/>
        </w:rPr>
        <w:t xml:space="preserve"> 煤中全硫的测定方法</w:t>
      </w:r>
    </w:p>
    <w:bookmarkEnd w:id="45"/>
    <w:p w14:paraId="30CE2351">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474</w:t>
      </w:r>
      <w:r>
        <w:rPr>
          <w:rFonts w:hint="eastAsia" w:ascii="宋体" w:hAnsi="Times New Roman"/>
          <w:kern w:val="0"/>
          <w:szCs w:val="20"/>
        </w:rPr>
        <w:t xml:space="preserve"> 煤样的制备方法</w:t>
      </w:r>
    </w:p>
    <w:p w14:paraId="6F2DB277">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475</w:t>
      </w:r>
      <w:r>
        <w:rPr>
          <w:rFonts w:hint="eastAsia" w:ascii="宋体" w:hAnsi="Times New Roman"/>
          <w:kern w:val="0"/>
          <w:szCs w:val="20"/>
        </w:rPr>
        <w:t xml:space="preserve"> 商品煤样人工采取方法</w:t>
      </w:r>
    </w:p>
    <w:p w14:paraId="4724697B">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483</w:t>
      </w:r>
      <w:r>
        <w:rPr>
          <w:rFonts w:hint="eastAsia" w:ascii="宋体" w:hAnsi="Times New Roman"/>
          <w:kern w:val="0"/>
          <w:szCs w:val="20"/>
        </w:rPr>
        <w:t xml:space="preserve"> 煤炭分析试验方法一般规定</w:t>
      </w:r>
    </w:p>
    <w:p w14:paraId="5AEF5D09">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19494.1</w:t>
      </w:r>
      <w:r>
        <w:rPr>
          <w:rFonts w:hint="eastAsia" w:ascii="宋体" w:hAnsi="Times New Roman"/>
          <w:kern w:val="0"/>
          <w:szCs w:val="20"/>
        </w:rPr>
        <w:t>煤炭</w:t>
      </w:r>
      <w:r>
        <w:rPr>
          <w:rFonts w:hint="eastAsia" w:ascii="Times New Roman" w:hAnsi="Times New Roman"/>
          <w:kern w:val="0"/>
          <w:szCs w:val="20"/>
        </w:rPr>
        <w:t>机械化</w:t>
      </w:r>
      <w:r>
        <w:rPr>
          <w:rFonts w:hint="eastAsia" w:ascii="宋体" w:hAnsi="Times New Roman"/>
          <w:kern w:val="0"/>
          <w:szCs w:val="20"/>
        </w:rPr>
        <w:t xml:space="preserve">采样 第1部分：采样方法 </w:t>
      </w:r>
    </w:p>
    <w:p w14:paraId="2BD11BCE">
      <w:pPr>
        <w:widowControl/>
        <w:autoSpaceDE w:val="0"/>
        <w:autoSpaceDN w:val="0"/>
        <w:adjustRightInd/>
        <w:spacing w:line="240" w:lineRule="auto"/>
        <w:ind w:firstLine="420" w:firstLineChars="200"/>
        <w:rPr>
          <w:rFonts w:ascii="宋体" w:hAnsi="Times New Roman"/>
          <w:kern w:val="0"/>
          <w:szCs w:val="20"/>
        </w:rPr>
      </w:pPr>
      <w:r>
        <w:rPr>
          <w:rFonts w:ascii="Times New Roman" w:hAnsi="Times New Roman"/>
          <w:kern w:val="0"/>
          <w:szCs w:val="20"/>
        </w:rPr>
        <w:t>GB/T 29858</w:t>
      </w:r>
      <w:r>
        <w:rPr>
          <w:rFonts w:hint="eastAsia" w:ascii="宋体" w:hAnsi="Times New Roman"/>
          <w:kern w:val="0"/>
          <w:szCs w:val="20"/>
        </w:rPr>
        <w:t xml:space="preserve"> </w:t>
      </w:r>
      <w:bookmarkStart w:id="47" w:name="OLE_LINK3"/>
      <w:r>
        <w:rPr>
          <w:rFonts w:hint="eastAsia" w:ascii="宋体" w:hAnsi="Times New Roman"/>
          <w:kern w:val="0"/>
          <w:szCs w:val="20"/>
        </w:rPr>
        <w:t>分子光谱多元校正定量分系通则</w:t>
      </w:r>
      <w:bookmarkEnd w:id="46"/>
      <w:bookmarkEnd w:id="47"/>
    </w:p>
    <w:p w14:paraId="10247924">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48" w:name="_Hlk195802858"/>
      <w:r>
        <w:rPr>
          <w:rFonts w:hint="eastAsia" w:ascii="黑体" w:hAnsi="Times New Roman" w:eastAsia="黑体"/>
          <w:kern w:val="0"/>
          <w:szCs w:val="20"/>
        </w:rPr>
        <w:t>术语和定义</w:t>
      </w:r>
      <w:bookmarkEnd w:id="43"/>
    </w:p>
    <w:bookmarkEnd w:id="48"/>
    <w:p w14:paraId="6248229B">
      <w:pPr>
        <w:pStyle w:val="59"/>
        <w:tabs>
          <w:tab w:val="left" w:pos="6198"/>
        </w:tabs>
        <w:ind w:firstLine="420"/>
        <w:rPr>
          <w:rFonts w:ascii="Times New Roman"/>
        </w:rPr>
      </w:pPr>
      <w:bookmarkStart w:id="49" w:name="_Toc26986532"/>
      <w:bookmarkEnd w:id="49"/>
      <w:r>
        <w:rPr>
          <w:rFonts w:ascii="Times New Roman"/>
        </w:rPr>
        <w:t>GB/T 29858</w:t>
      </w:r>
      <w:r>
        <w:rPr>
          <w:rFonts w:hint="eastAsia" w:ascii="Times New Roman"/>
        </w:rPr>
        <w:t>和本文件界定的下列术语与定义适用于本文件。</w:t>
      </w:r>
    </w:p>
    <w:p w14:paraId="486CCAE3">
      <w:pPr>
        <w:pStyle w:val="108"/>
        <w:spacing w:before="120" w:after="120"/>
        <w:ind w:left="0"/>
      </w:pPr>
    </w:p>
    <w:p w14:paraId="04648DEC">
      <w:pPr>
        <w:pStyle w:val="108"/>
        <w:numPr>
          <w:ilvl w:val="0"/>
          <w:numId w:val="0"/>
        </w:numPr>
        <w:spacing w:before="0" w:beforeLines="0" w:after="0" w:afterLines="0"/>
        <w:ind w:firstLine="420" w:firstLineChars="200"/>
        <w:outlineLvl w:val="9"/>
      </w:pPr>
      <w:bookmarkStart w:id="50" w:name="OLE_LINK22"/>
      <w:bookmarkStart w:id="51" w:name="OLE_LINK54"/>
      <w:bookmarkStart w:id="52" w:name="OLE_LINK26"/>
      <w:r>
        <w:rPr>
          <w:rFonts w:hint="eastAsia"/>
        </w:rPr>
        <w:t xml:space="preserve">校正模型 </w:t>
      </w:r>
      <w:r>
        <w:rPr>
          <w:rFonts w:ascii="Times New Roman"/>
        </w:rPr>
        <w:t>calibration model</w:t>
      </w:r>
    </w:p>
    <w:bookmarkEnd w:id="50"/>
    <w:p w14:paraId="20A542A5">
      <w:pPr>
        <w:spacing w:line="240" w:lineRule="auto"/>
        <w:ind w:firstLine="420" w:firstLineChars="200"/>
        <w:rPr>
          <w:rFonts w:ascii="Times New Roman" w:hAnsi="Times New Roman"/>
          <w:kern w:val="0"/>
          <w:szCs w:val="20"/>
        </w:rPr>
      </w:pPr>
      <w:r>
        <w:rPr>
          <w:rFonts w:hint="eastAsia" w:ascii="Times New Roman" w:hAnsi="Times New Roman"/>
          <w:kern w:val="0"/>
          <w:szCs w:val="20"/>
        </w:rPr>
        <w:t>利用化学计量学方法建立的煤样近红外光谱与对应煤质测定值之间关系的数学模型。</w:t>
      </w:r>
    </w:p>
    <w:bookmarkEnd w:id="51"/>
    <w:p w14:paraId="42E65E83">
      <w:pPr>
        <w:pStyle w:val="108"/>
        <w:spacing w:before="120" w:after="120"/>
        <w:ind w:left="0"/>
      </w:pPr>
      <w:bookmarkStart w:id="53" w:name="OLE_LINK21"/>
    </w:p>
    <w:p w14:paraId="7EFA7859">
      <w:pPr>
        <w:pStyle w:val="108"/>
        <w:numPr>
          <w:ilvl w:val="0"/>
          <w:numId w:val="0"/>
        </w:numPr>
        <w:spacing w:before="0" w:beforeLines="0" w:after="0" w:afterLines="0"/>
        <w:ind w:firstLine="420" w:firstLineChars="200"/>
        <w:outlineLvl w:val="9"/>
      </w:pPr>
      <w:bookmarkStart w:id="54" w:name="OLE_LINK70"/>
      <w:r>
        <w:rPr>
          <w:rFonts w:hint="eastAsia"/>
        </w:rPr>
        <w:t xml:space="preserve">仪器的标准化 </w:t>
      </w:r>
      <w:r>
        <w:rPr>
          <w:rFonts w:hint="eastAsia" w:ascii="Times New Roman"/>
        </w:rPr>
        <w:t>i</w:t>
      </w:r>
      <w:r>
        <w:rPr>
          <w:rFonts w:ascii="Times New Roman"/>
        </w:rPr>
        <w:t xml:space="preserve">nstrument </w:t>
      </w:r>
      <w:r>
        <w:rPr>
          <w:rFonts w:hint="eastAsia" w:ascii="Times New Roman"/>
        </w:rPr>
        <w:t>s</w:t>
      </w:r>
      <w:r>
        <w:rPr>
          <w:rFonts w:ascii="Times New Roman"/>
        </w:rPr>
        <w:t>tandardization</w:t>
      </w:r>
    </w:p>
    <w:bookmarkEnd w:id="54"/>
    <w:p w14:paraId="69E7E850">
      <w:pPr>
        <w:pStyle w:val="245"/>
      </w:pPr>
      <w:r>
        <w:rPr>
          <w:rFonts w:hint="eastAsia"/>
        </w:rPr>
        <w:t>对一组红外仪器进行校正的过程。通过校正，这组设备用同一标定模型对同一样品进行测定时，获取相近的测定值。</w:t>
      </w:r>
    </w:p>
    <w:p w14:paraId="031E7C1D">
      <w:pPr>
        <w:pStyle w:val="108"/>
        <w:spacing w:before="120" w:after="120"/>
        <w:ind w:left="0"/>
      </w:pPr>
    </w:p>
    <w:p w14:paraId="00C83A2E">
      <w:pPr>
        <w:pStyle w:val="108"/>
        <w:numPr>
          <w:ilvl w:val="0"/>
          <w:numId w:val="0"/>
        </w:numPr>
        <w:spacing w:before="0" w:beforeLines="0" w:after="0" w:afterLines="0"/>
        <w:ind w:firstLine="420" w:firstLineChars="200"/>
        <w:outlineLvl w:val="9"/>
      </w:pPr>
      <w:bookmarkStart w:id="55" w:name="OLE_LINK23"/>
      <w:bookmarkStart w:id="56" w:name="OLE_LINK69"/>
      <w:r>
        <w:rPr>
          <w:rFonts w:hint="eastAsia"/>
        </w:rPr>
        <w:t xml:space="preserve">模型鲁棒性 </w:t>
      </w:r>
      <w:r>
        <w:rPr>
          <w:rFonts w:hint="eastAsia" w:ascii="Times New Roman"/>
        </w:rPr>
        <w:t>m</w:t>
      </w:r>
      <w:r>
        <w:rPr>
          <w:rFonts w:ascii="Times New Roman"/>
        </w:rPr>
        <w:t xml:space="preserve">odel </w:t>
      </w:r>
      <w:r>
        <w:rPr>
          <w:rFonts w:hint="eastAsia" w:ascii="Times New Roman"/>
        </w:rPr>
        <w:t>r</w:t>
      </w:r>
      <w:r>
        <w:rPr>
          <w:rFonts w:ascii="Times New Roman"/>
        </w:rPr>
        <w:t>obustness</w:t>
      </w:r>
    </w:p>
    <w:p w14:paraId="1C6CA685">
      <w:pPr>
        <w:pStyle w:val="245"/>
      </w:pPr>
      <w:r>
        <w:rPr>
          <w:rFonts w:hint="eastAsia"/>
        </w:rPr>
        <w:t>模型在输入数据存在噪声、干扰或分布变化时，维持其稳定性的能力。</w:t>
      </w:r>
    </w:p>
    <w:bookmarkEnd w:id="52"/>
    <w:bookmarkEnd w:id="53"/>
    <w:bookmarkEnd w:id="55"/>
    <w:bookmarkEnd w:id="56"/>
    <w:p w14:paraId="0F3CEB73">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57" w:name="_Hlk195802878"/>
      <w:bookmarkStart w:id="58" w:name="OLE_LINK72"/>
      <w:r>
        <w:rPr>
          <w:rFonts w:hint="eastAsia" w:ascii="黑体" w:hAnsi="Times New Roman" w:eastAsia="黑体"/>
          <w:kern w:val="0"/>
          <w:szCs w:val="20"/>
        </w:rPr>
        <w:t>原理</w:t>
      </w:r>
      <w:bookmarkStart w:id="59" w:name="_Hlk176963991"/>
    </w:p>
    <w:bookmarkEnd w:id="57"/>
    <w:p w14:paraId="2F21636C">
      <w:pPr>
        <w:pStyle w:val="245"/>
      </w:pPr>
      <w:bookmarkStart w:id="60" w:name="OLE_LINK30"/>
      <w:r>
        <w:rPr>
          <w:rFonts w:hint="eastAsia"/>
        </w:rPr>
        <w:t>近红外光谱与煤样相互作用时，煤中有机大分子官能团的化学键（如</w:t>
      </w:r>
      <w:r>
        <w:t>C-H</w:t>
      </w:r>
      <w:r>
        <w:rPr>
          <w:rFonts w:hint="eastAsia"/>
        </w:rPr>
        <w:t>、</w:t>
      </w:r>
      <w:r>
        <w:t>N-H</w:t>
      </w:r>
      <w:r>
        <w:rPr>
          <w:rFonts w:hint="eastAsia"/>
        </w:rPr>
        <w:t>、</w:t>
      </w:r>
      <w:r>
        <w:t>O-H</w:t>
      </w:r>
      <w:r>
        <w:rPr>
          <w:rFonts w:hint="eastAsia"/>
        </w:rPr>
        <w:t>等）在特征波长范围内吸收能量，形成特征吸收峰。采用漫反射近红外光谱采集样品的光谱数据，并结合光谱预处理（如去噪、平滑、降维）优化数据质量。随后，利用偏最小二乘回归（</w:t>
      </w:r>
      <w:r>
        <w:t>PLSR</w:t>
      </w:r>
      <w:r>
        <w:rPr>
          <w:rFonts w:hint="eastAsia"/>
        </w:rPr>
        <w:t>）、支持向量回归（</w:t>
      </w:r>
      <w:r>
        <w:t>SVR</w:t>
      </w:r>
      <w:r>
        <w:rPr>
          <w:rFonts w:hint="eastAsia"/>
        </w:rPr>
        <w:t>）等方法，构建光谱特征与煤质指标之间的线性或非线性映射模型（校正模型），实现挥发分、硫和发热量的快速、无损定量分析。</w:t>
      </w:r>
    </w:p>
    <w:bookmarkEnd w:id="59"/>
    <w:bookmarkEnd w:id="60"/>
    <w:p w14:paraId="2EEFF0C0">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61" w:name="OLE_LINK71"/>
      <w:r>
        <w:rPr>
          <w:rFonts w:hint="eastAsia" w:ascii="黑体" w:hAnsi="Times New Roman" w:eastAsia="黑体"/>
          <w:kern w:val="0"/>
          <w:szCs w:val="20"/>
        </w:rPr>
        <w:t>仪器设备</w:t>
      </w:r>
    </w:p>
    <w:bookmarkEnd w:id="58"/>
    <w:bookmarkEnd w:id="61"/>
    <w:p w14:paraId="45F3D505">
      <w:pPr>
        <w:pStyle w:val="108"/>
        <w:spacing w:before="120" w:after="120"/>
        <w:ind w:left="0"/>
      </w:pPr>
      <w:bookmarkStart w:id="62" w:name="OLE_LINK47"/>
      <w:r>
        <w:rPr>
          <w:rFonts w:hint="eastAsia"/>
        </w:rPr>
        <w:t>近红外光谱仪</w:t>
      </w:r>
    </w:p>
    <w:bookmarkEnd w:id="62"/>
    <w:p w14:paraId="36400C27">
      <w:pPr>
        <w:pStyle w:val="245"/>
      </w:pPr>
      <w:r>
        <w:rPr>
          <w:rFonts w:hint="eastAsia"/>
        </w:rPr>
        <w:t>仪器应具有漫反射模式，其谱区范围为770 nm-2500 nm（12900/cm-4000/cm），光谱分辨率（</w:t>
      </w:r>
      <w:r>
        <w:t>FWHM</w:t>
      </w:r>
      <w:r>
        <w:rPr>
          <w:rFonts w:hint="eastAsia"/>
        </w:rPr>
        <w:t>）</w:t>
      </w:r>
      <w:r>
        <w:rPr>
          <w:rFonts w:hint="eastAsia" w:hAnsi="宋体"/>
        </w:rPr>
        <w:t>≥</w:t>
      </w:r>
      <w:r>
        <w:t>6.2</w:t>
      </w:r>
      <w:r>
        <w:rPr>
          <w:rFonts w:hint="eastAsia"/>
        </w:rPr>
        <w:t xml:space="preserve"> </w:t>
      </w:r>
      <w:r>
        <w:t>nm</w:t>
      </w:r>
      <w:r>
        <w:rPr>
          <w:rFonts w:hint="eastAsia"/>
        </w:rPr>
        <w:t>，信噪比</w:t>
      </w:r>
      <w:r>
        <w:rPr>
          <w:rFonts w:hint="eastAsia" w:hAnsi="宋体"/>
        </w:rPr>
        <w:t>≥</w:t>
      </w:r>
      <w:r>
        <w:t>13000:1</w:t>
      </w:r>
      <w:r>
        <w:rPr>
          <w:rFonts w:hint="eastAsia"/>
        </w:rPr>
        <w:t>，波长重复性</w:t>
      </w:r>
      <w:r>
        <w:t>≤</w:t>
      </w:r>
      <w:r>
        <w:rPr>
          <w:rFonts w:hint="eastAsia"/>
        </w:rPr>
        <w:t>0.2nm，仪器应具备自检功能。或可采用满足上述光谱性能要求的其他同类设备。</w:t>
      </w:r>
    </w:p>
    <w:p w14:paraId="521F028B">
      <w:pPr>
        <w:pStyle w:val="108"/>
        <w:spacing w:before="120" w:after="120"/>
        <w:ind w:left="0"/>
      </w:pPr>
      <w:bookmarkStart w:id="63" w:name="OLE_LINK2"/>
      <w:r>
        <w:rPr>
          <w:rFonts w:hint="eastAsia"/>
        </w:rPr>
        <w:t>样品杯</w:t>
      </w:r>
    </w:p>
    <w:bookmarkEnd w:id="63"/>
    <w:p w14:paraId="0AB16830">
      <w:pPr>
        <w:pStyle w:val="59"/>
        <w:ind w:firstLine="420"/>
      </w:pPr>
      <w:r>
        <w:rPr>
          <w:rFonts w:hint="eastAsia"/>
        </w:rPr>
        <w:t>与近红外光谱仪配套的石英样品杯。</w:t>
      </w:r>
    </w:p>
    <w:p w14:paraId="52F6BD2C">
      <w:pPr>
        <w:pStyle w:val="108"/>
        <w:spacing w:before="120" w:after="120"/>
        <w:ind w:left="0"/>
      </w:pPr>
      <w:r>
        <w:rPr>
          <w:rFonts w:hint="eastAsia"/>
        </w:rPr>
        <w:t>样品研磨、粉碎设备</w:t>
      </w:r>
    </w:p>
    <w:p w14:paraId="5EC4229D">
      <w:pPr>
        <w:pStyle w:val="59"/>
        <w:ind w:firstLine="420"/>
      </w:pPr>
      <w:r>
        <w:rPr>
          <w:rFonts w:hint="eastAsia"/>
        </w:rPr>
        <w:t>选择适当的研磨或粉碎设备，制备符合粒度要求的煤样。</w:t>
      </w:r>
    </w:p>
    <w:p w14:paraId="2570D4E0">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64" w:name="OLE_LINK77"/>
      <w:r>
        <w:rPr>
          <w:rFonts w:hint="eastAsia" w:ascii="黑体" w:hAnsi="Times New Roman" w:eastAsia="黑体"/>
          <w:kern w:val="0"/>
          <w:szCs w:val="20"/>
        </w:rPr>
        <w:t>样品</w:t>
      </w:r>
    </w:p>
    <w:p w14:paraId="74A3682B">
      <w:pPr>
        <w:pStyle w:val="108"/>
        <w:spacing w:before="120" w:after="120"/>
        <w:ind w:left="0"/>
      </w:pPr>
      <w:r>
        <w:rPr>
          <w:rFonts w:hint="eastAsia"/>
        </w:rPr>
        <w:t>总则</w:t>
      </w:r>
    </w:p>
    <w:p w14:paraId="3BE02ECF">
      <w:pPr>
        <w:pStyle w:val="59"/>
        <w:ind w:firstLine="420"/>
      </w:pPr>
      <w:bookmarkStart w:id="65" w:name="OLE_LINK32"/>
      <w:r>
        <w:rPr>
          <w:rFonts w:hint="eastAsia"/>
        </w:rPr>
        <w:t>本文件中的样品包括:用于近红外光谱仪校正模型的校正样品和验证样品、用于检验仪器稳定性检查的质控样品及用于校正模型性能监控的监控样品。</w:t>
      </w:r>
    </w:p>
    <w:p w14:paraId="22709856">
      <w:pPr>
        <w:pStyle w:val="108"/>
        <w:spacing w:before="120" w:after="120"/>
        <w:ind w:left="0"/>
      </w:pPr>
      <w:r>
        <w:rPr>
          <w:rFonts w:hint="eastAsia"/>
        </w:rPr>
        <w:t>校正样品和验证样品</w:t>
      </w:r>
    </w:p>
    <w:p w14:paraId="5490EC9D">
      <w:pPr>
        <w:pStyle w:val="59"/>
        <w:ind w:firstLine="420"/>
      </w:pPr>
      <w:bookmarkStart w:id="66" w:name="OLE_LINK24"/>
      <w:r>
        <w:rPr>
          <w:rFonts w:hint="eastAsia"/>
        </w:rPr>
        <w:t>校正样品和验证样品需具有代表性，涵盖各种影响因素，如考虑：</w:t>
      </w:r>
    </w:p>
    <w:p w14:paraId="56D226EA">
      <w:pPr>
        <w:pStyle w:val="59"/>
        <w:numPr>
          <w:ilvl w:val="0"/>
          <w:numId w:val="33"/>
        </w:numPr>
        <w:ind w:firstLineChars="0"/>
      </w:pPr>
      <w:bookmarkStart w:id="67" w:name="OLE_LINK25"/>
      <w:r>
        <w:rPr>
          <w:rFonts w:hint="eastAsia"/>
        </w:rPr>
        <w:t>样品的硫、挥发分、发热量应覆盖待测样品的预期检测范围；</w:t>
      </w:r>
    </w:p>
    <w:p w14:paraId="572BBDB7">
      <w:pPr>
        <w:pStyle w:val="59"/>
        <w:numPr>
          <w:ilvl w:val="0"/>
          <w:numId w:val="33"/>
        </w:numPr>
        <w:ind w:firstLineChars="0"/>
      </w:pPr>
      <w:r>
        <w:rPr>
          <w:rFonts w:hint="eastAsia"/>
        </w:rPr>
        <w:t>需考虑煤种（如烟煤、无烟煤、褐煤）、地质成因的不同；</w:t>
      </w:r>
    </w:p>
    <w:p w14:paraId="441A0619">
      <w:pPr>
        <w:pStyle w:val="59"/>
        <w:numPr>
          <w:ilvl w:val="0"/>
          <w:numId w:val="33"/>
        </w:numPr>
        <w:ind w:firstLineChars="0"/>
      </w:pPr>
      <w:r>
        <w:rPr>
          <w:rFonts w:hint="eastAsia"/>
        </w:rPr>
        <w:t>加工工艺、储存条件、物理状态（粒度、湿度、氧化程度）；</w:t>
      </w:r>
    </w:p>
    <w:p w14:paraId="3568C726">
      <w:pPr>
        <w:pStyle w:val="59"/>
        <w:numPr>
          <w:ilvl w:val="0"/>
          <w:numId w:val="33"/>
        </w:numPr>
        <w:ind w:firstLineChars="0"/>
      </w:pPr>
      <w:r>
        <w:rPr>
          <w:rFonts w:hint="eastAsia"/>
        </w:rPr>
        <w:t>仪器差异。</w:t>
      </w:r>
    </w:p>
    <w:bookmarkEnd w:id="66"/>
    <w:p w14:paraId="0FACBD06">
      <w:pPr>
        <w:pStyle w:val="108"/>
        <w:spacing w:before="120" w:after="120"/>
        <w:ind w:left="0"/>
      </w:pPr>
      <w:r>
        <w:rPr>
          <w:rFonts w:hint="eastAsia"/>
        </w:rPr>
        <w:t>仪器质控样品</w:t>
      </w:r>
    </w:p>
    <w:p w14:paraId="70DC35D7">
      <w:pPr>
        <w:pStyle w:val="245"/>
      </w:pPr>
      <w:bookmarkStart w:id="68" w:name="OLE_LINK31"/>
      <w:r>
        <w:rPr>
          <w:rFonts w:hint="eastAsia"/>
        </w:rPr>
        <w:t>质控样品应具备长期稳定性（如国标标样GBW系列），物理化学性质尽可能与待测煤样保持一致。</w:t>
      </w:r>
    </w:p>
    <w:bookmarkEnd w:id="68"/>
    <w:p w14:paraId="4B0A6ED1">
      <w:pPr>
        <w:pStyle w:val="108"/>
        <w:spacing w:before="120" w:after="120"/>
        <w:ind w:left="0"/>
      </w:pPr>
      <w:r>
        <w:rPr>
          <w:rFonts w:hint="eastAsia"/>
        </w:rPr>
        <w:t>校正模型性能监控样品</w:t>
      </w:r>
    </w:p>
    <w:p w14:paraId="6A4A2F8D">
      <w:pPr>
        <w:pStyle w:val="59"/>
        <w:ind w:firstLine="420"/>
      </w:pPr>
      <w:r>
        <w:rPr>
          <w:rFonts w:hint="eastAsia"/>
        </w:rPr>
        <w:t>校正模型性能监控样品宜从待测样品中随机选取，需采取一定的策略确保样品在校正范围内分布均匀。例如，将样品按含量高低进行分段后在每段中随机选择样品，或选择能涵盖常规范围的样品。</w:t>
      </w:r>
      <w:bookmarkEnd w:id="64"/>
    </w:p>
    <w:bookmarkEnd w:id="65"/>
    <w:bookmarkEnd w:id="67"/>
    <w:p w14:paraId="3B0F1614">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校正模型的建立与验证</w:t>
      </w:r>
    </w:p>
    <w:p w14:paraId="4CCEDFA5">
      <w:pPr>
        <w:pStyle w:val="108"/>
        <w:spacing w:before="120" w:after="120"/>
        <w:ind w:left="0"/>
        <w:rPr>
          <w:rFonts w:ascii="Times New Roman"/>
        </w:rPr>
      </w:pPr>
      <w:r>
        <w:rPr>
          <w:rFonts w:hint="eastAsia" w:ascii="Times New Roman"/>
        </w:rPr>
        <w:t>校正模型的构建</w:t>
      </w:r>
    </w:p>
    <w:p w14:paraId="3766A9BD">
      <w:pPr>
        <w:pStyle w:val="68"/>
        <w:spacing w:before="120" w:after="120"/>
        <w:ind w:left="0"/>
        <w:rPr>
          <w:rFonts w:ascii="Times New Roman" w:eastAsia="宋体"/>
        </w:rPr>
      </w:pPr>
      <w:r>
        <w:rPr>
          <w:rFonts w:hint="eastAsia" w:ascii="Times New Roman" w:eastAsia="宋体"/>
        </w:rPr>
        <w:t>样品选择</w:t>
      </w:r>
    </w:p>
    <w:p w14:paraId="788A879B">
      <w:pPr>
        <w:pStyle w:val="59"/>
        <w:ind w:firstLine="420"/>
      </w:pPr>
      <w:r>
        <w:rPr>
          <w:rFonts w:hint="eastAsia"/>
        </w:rPr>
        <w:t>建模样品分为校正样品和验证样品，且应满足本文件规定的样品适用范围。</w:t>
      </w:r>
    </w:p>
    <w:p w14:paraId="75813E3D">
      <w:pPr>
        <w:numPr>
          <w:ilvl w:val="3"/>
          <w:numId w:val="2"/>
        </w:numPr>
        <w:adjustRightInd/>
        <w:spacing w:before="120" w:beforeLines="50" w:after="120" w:afterLines="50" w:line="240" w:lineRule="auto"/>
        <w:ind w:left="0"/>
        <w:outlineLvl w:val="2"/>
        <w:rPr>
          <w:rFonts w:ascii="Times New Roman" w:hAnsi="Times New Roman"/>
          <w:kern w:val="0"/>
          <w:szCs w:val="20"/>
        </w:rPr>
      </w:pPr>
      <w:r>
        <w:rPr>
          <w:rFonts w:hint="eastAsia" w:ascii="Times New Roman" w:hAnsi="Times New Roman"/>
          <w:kern w:val="0"/>
          <w:szCs w:val="20"/>
        </w:rPr>
        <w:t>校正样品集</w:t>
      </w:r>
    </w:p>
    <w:p w14:paraId="7A3DB0F4">
      <w:pPr>
        <w:pStyle w:val="59"/>
        <w:ind w:firstLine="420"/>
        <w:rPr>
          <w:rFonts w:ascii="Times New Roman"/>
        </w:rPr>
      </w:pPr>
      <w:r>
        <w:rPr>
          <w:rFonts w:hint="eastAsia" w:ascii="Times New Roman"/>
        </w:rPr>
        <w:t>在建立基于近红外光谱的煤质指标快速检测模型时，校正样品数量</w:t>
      </w:r>
      <w:r>
        <w:rPr>
          <w:rFonts w:hint="eastAsia" w:ascii="Times New Roman"/>
          <w:lang w:val="en-US" w:eastAsia="zh-CN"/>
        </w:rPr>
        <w:t>建议</w:t>
      </w:r>
      <w:r>
        <w:rPr>
          <w:rFonts w:hint="eastAsia" w:ascii="Times New Roman"/>
        </w:rPr>
        <w:t>不少于500个，以确保统计显著性和模型的泛化能力。校正集样品应全面覆盖待测样品的成分含量范围，若现有校正样品集未能完全覆盖待测样品的所有煤样成分含量变动范围，应补充新的、具有代表性的校正样品，以确保数据的完整性和代表性。为保证样本的均衡性，避免模型因某一区间样本过多而产生偏倚，建议将每个成分含量范围均分为5个区间，且每个区间内样品数量应不少于50个。</w:t>
      </w:r>
    </w:p>
    <w:p w14:paraId="2BBA7827">
      <w:pPr>
        <w:pStyle w:val="68"/>
        <w:spacing w:before="120" w:after="120"/>
        <w:ind w:left="0"/>
        <w:rPr>
          <w:rFonts w:ascii="Times New Roman" w:eastAsia="宋体"/>
        </w:rPr>
      </w:pPr>
      <w:r>
        <w:rPr>
          <w:rFonts w:hint="eastAsia" w:ascii="Times New Roman" w:eastAsia="宋体"/>
        </w:rPr>
        <w:t>验证样品集</w:t>
      </w:r>
    </w:p>
    <w:p w14:paraId="2BA03F38">
      <w:pPr>
        <w:pStyle w:val="59"/>
        <w:ind w:firstLine="420" w:firstLineChars="0"/>
        <w:rPr>
          <w:rFonts w:ascii="Times New Roman"/>
        </w:rPr>
      </w:pPr>
      <w:bookmarkStart w:id="69" w:name="_Hlk193826831"/>
      <w:r>
        <w:rPr>
          <w:rFonts w:hint="eastAsia" w:ascii="Times New Roman"/>
        </w:rPr>
        <w:t>用于验证模型的验证样品数量建议不少于</w:t>
      </w:r>
      <w:r>
        <w:rPr>
          <w:rFonts w:ascii="Times New Roman"/>
        </w:rPr>
        <w:t>100</w:t>
      </w:r>
      <w:r>
        <w:rPr>
          <w:rFonts w:hint="eastAsia" w:ascii="Times New Roman"/>
        </w:rPr>
        <w:t>个。验证集样品应为校正样品集外的样品。验证样品的品质变化范围应涵盖校正样品的品质变化范围，各验证样品品质数据在整个变化范围内应均匀分布。</w:t>
      </w:r>
    </w:p>
    <w:bookmarkEnd w:id="69"/>
    <w:p w14:paraId="3DA61306">
      <w:pPr>
        <w:pStyle w:val="68"/>
        <w:spacing w:before="120" w:after="120"/>
        <w:ind w:left="0"/>
        <w:rPr>
          <w:rFonts w:ascii="Times New Roman" w:eastAsia="宋体"/>
        </w:rPr>
      </w:pPr>
      <w:r>
        <w:rPr>
          <w:rFonts w:hint="eastAsia" w:ascii="Times New Roman" w:eastAsia="宋体"/>
        </w:rPr>
        <w:t>测定参考值</w:t>
      </w:r>
    </w:p>
    <w:p w14:paraId="27349231">
      <w:pPr>
        <w:pStyle w:val="59"/>
        <w:ind w:firstLine="420"/>
        <w:rPr>
          <w:rFonts w:ascii="Times New Roman"/>
          <w:highlight w:val="yellow"/>
        </w:rPr>
      </w:pPr>
      <w:r>
        <w:rPr>
          <w:rFonts w:hint="eastAsia" w:ascii="Times New Roman"/>
        </w:rPr>
        <w:t>按照表1规定的参考方法，测定校正样品和验证样品各项品质指标。</w:t>
      </w:r>
    </w:p>
    <w:p w14:paraId="26D92071">
      <w:pPr>
        <w:pStyle w:val="59"/>
        <w:ind w:firstLine="420"/>
        <w:jc w:val="center"/>
        <w:rPr>
          <w:rFonts w:hint="eastAsia" w:ascii="黑体" w:hAnsi="黑体" w:eastAsia="黑体"/>
        </w:rPr>
      </w:pPr>
      <w:r>
        <w:rPr>
          <w:rFonts w:hint="eastAsia" w:ascii="黑体" w:hAnsi="黑体" w:eastAsia="黑体"/>
        </w:rPr>
        <w:t>表</w:t>
      </w:r>
      <w:r>
        <w:rPr>
          <w:rFonts w:ascii="黑体" w:hAnsi="黑体" w:eastAsia="黑体"/>
        </w:rPr>
        <w:t>1</w:t>
      </w:r>
      <w:r>
        <w:rPr>
          <w:rFonts w:hint="eastAsia" w:ascii="黑体" w:hAnsi="黑体" w:eastAsia="黑体"/>
        </w:rPr>
        <w:t xml:space="preserve"> 参考方法</w:t>
      </w:r>
    </w:p>
    <w:tbl>
      <w:tblPr>
        <w:tblStyle w:val="2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289"/>
        <w:gridCol w:w="2557"/>
        <w:gridCol w:w="2800"/>
      </w:tblGrid>
      <w:tr w14:paraId="7F215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89" w:type="dxa"/>
          </w:tcPr>
          <w:p w14:paraId="72BE633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项目</w:t>
            </w:r>
          </w:p>
        </w:tc>
        <w:tc>
          <w:tcPr>
            <w:tcW w:w="2557" w:type="dxa"/>
          </w:tcPr>
          <w:p w14:paraId="0CF04E5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单位</w:t>
            </w:r>
          </w:p>
        </w:tc>
        <w:tc>
          <w:tcPr>
            <w:tcW w:w="2800" w:type="dxa"/>
          </w:tcPr>
          <w:p w14:paraId="79F9CC5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实验方法</w:t>
            </w:r>
          </w:p>
        </w:tc>
      </w:tr>
      <w:tr w14:paraId="38F15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89" w:type="dxa"/>
            <w:vAlign w:val="center"/>
          </w:tcPr>
          <w:p w14:paraId="3D4890BA">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挥发分</w:t>
            </w:r>
          </w:p>
        </w:tc>
        <w:tc>
          <w:tcPr>
            <w:tcW w:w="2557" w:type="dxa"/>
            <w:vAlign w:val="center"/>
          </w:tcPr>
          <w:p w14:paraId="23E5036B">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w:t>
            </w:r>
          </w:p>
        </w:tc>
        <w:tc>
          <w:tcPr>
            <w:tcW w:w="2800" w:type="dxa"/>
          </w:tcPr>
          <w:p w14:paraId="23C0DD2A">
            <w:pPr>
              <w:widowControl/>
              <w:autoSpaceDE w:val="0"/>
              <w:autoSpaceDN w:val="0"/>
              <w:adjustRightInd/>
              <w:spacing w:line="240" w:lineRule="auto"/>
              <w:jc w:val="center"/>
              <w:rPr>
                <w:rFonts w:hint="default" w:ascii="Times New Roman" w:hAnsi="Times New Roman" w:eastAsia="宋体"/>
                <w:kern w:val="0"/>
                <w:sz w:val="18"/>
                <w:szCs w:val="18"/>
                <w:lang w:val="en-US" w:eastAsia="zh-CN"/>
              </w:rPr>
            </w:pPr>
            <w:r>
              <w:rPr>
                <w:rFonts w:ascii="Times New Roman" w:hAnsi="Times New Roman"/>
                <w:kern w:val="0"/>
                <w:sz w:val="18"/>
                <w:szCs w:val="18"/>
              </w:rPr>
              <w:t>GB/T 212</w:t>
            </w:r>
            <w:r>
              <w:rPr>
                <w:rFonts w:hint="eastAsia" w:ascii="Times New Roman" w:hAnsi="Times New Roman"/>
                <w:kern w:val="0"/>
                <w:sz w:val="18"/>
                <w:szCs w:val="18"/>
                <w:lang w:val="en-US" w:eastAsia="zh-CN"/>
              </w:rPr>
              <w:t>-2008</w:t>
            </w:r>
          </w:p>
        </w:tc>
      </w:tr>
      <w:tr w14:paraId="5DE73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89" w:type="dxa"/>
          </w:tcPr>
          <w:p w14:paraId="1EB2626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硫</w:t>
            </w:r>
          </w:p>
        </w:tc>
        <w:tc>
          <w:tcPr>
            <w:tcW w:w="2557" w:type="dxa"/>
          </w:tcPr>
          <w:p w14:paraId="3C76EEE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w:t>
            </w:r>
          </w:p>
        </w:tc>
        <w:tc>
          <w:tcPr>
            <w:tcW w:w="2800" w:type="dxa"/>
          </w:tcPr>
          <w:p w14:paraId="39B7DEB2">
            <w:pPr>
              <w:widowControl/>
              <w:autoSpaceDE w:val="0"/>
              <w:autoSpaceDN w:val="0"/>
              <w:adjustRightInd/>
              <w:spacing w:line="240" w:lineRule="auto"/>
              <w:jc w:val="center"/>
              <w:rPr>
                <w:rFonts w:hint="default" w:ascii="Times New Roman" w:hAnsi="Times New Roman" w:eastAsia="宋体"/>
                <w:kern w:val="0"/>
                <w:sz w:val="18"/>
                <w:szCs w:val="18"/>
                <w:lang w:val="en-US" w:eastAsia="zh-CN"/>
              </w:rPr>
            </w:pPr>
            <w:r>
              <w:rPr>
                <w:rFonts w:ascii="Times New Roman" w:hAnsi="Times New Roman"/>
                <w:kern w:val="0"/>
                <w:sz w:val="18"/>
                <w:szCs w:val="18"/>
              </w:rPr>
              <w:t>GB/T 214</w:t>
            </w:r>
            <w:r>
              <w:rPr>
                <w:rFonts w:hint="eastAsia" w:ascii="Times New Roman" w:hAnsi="Times New Roman"/>
                <w:kern w:val="0"/>
                <w:sz w:val="18"/>
                <w:szCs w:val="18"/>
                <w:lang w:val="en-US" w:eastAsia="zh-CN"/>
              </w:rPr>
              <w:t>-2007</w:t>
            </w:r>
          </w:p>
        </w:tc>
      </w:tr>
      <w:tr w14:paraId="62CF0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89" w:type="dxa"/>
          </w:tcPr>
          <w:p w14:paraId="0A3B502D">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发热量</w:t>
            </w:r>
          </w:p>
        </w:tc>
        <w:tc>
          <w:tcPr>
            <w:tcW w:w="2557" w:type="dxa"/>
          </w:tcPr>
          <w:p w14:paraId="207F77A3">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J/g</w:t>
            </w:r>
          </w:p>
        </w:tc>
        <w:tc>
          <w:tcPr>
            <w:tcW w:w="2800" w:type="dxa"/>
          </w:tcPr>
          <w:p w14:paraId="551D5EE9">
            <w:pPr>
              <w:widowControl/>
              <w:autoSpaceDE w:val="0"/>
              <w:autoSpaceDN w:val="0"/>
              <w:adjustRightInd/>
              <w:spacing w:line="240" w:lineRule="auto"/>
              <w:jc w:val="center"/>
              <w:rPr>
                <w:rFonts w:hint="default" w:ascii="Times New Roman" w:hAnsi="Times New Roman" w:eastAsia="宋体"/>
                <w:kern w:val="0"/>
                <w:sz w:val="18"/>
                <w:szCs w:val="18"/>
                <w:lang w:val="en-US" w:eastAsia="zh-CN"/>
              </w:rPr>
            </w:pPr>
            <w:r>
              <w:rPr>
                <w:rFonts w:ascii="Times New Roman" w:hAnsi="Times New Roman"/>
                <w:kern w:val="0"/>
                <w:sz w:val="18"/>
                <w:szCs w:val="18"/>
              </w:rPr>
              <w:t>GB/T 213</w:t>
            </w:r>
            <w:r>
              <w:rPr>
                <w:rFonts w:hint="eastAsia" w:ascii="Times New Roman" w:hAnsi="Times New Roman"/>
                <w:kern w:val="0"/>
                <w:sz w:val="18"/>
                <w:szCs w:val="18"/>
                <w:lang w:val="en-US" w:eastAsia="zh-CN"/>
              </w:rPr>
              <w:t>-2008</w:t>
            </w:r>
          </w:p>
        </w:tc>
      </w:tr>
    </w:tbl>
    <w:p w14:paraId="3A760125">
      <w:pPr>
        <w:numPr>
          <w:ilvl w:val="3"/>
          <w:numId w:val="2"/>
        </w:numPr>
        <w:adjustRightInd/>
        <w:spacing w:before="120" w:beforeLines="50" w:after="120" w:afterLines="50" w:line="240" w:lineRule="auto"/>
        <w:ind w:left="0"/>
        <w:outlineLvl w:val="2"/>
        <w:rPr>
          <w:rFonts w:ascii="Times New Roman" w:hAnsi="Times New Roman"/>
          <w:kern w:val="0"/>
          <w:szCs w:val="20"/>
        </w:rPr>
      </w:pPr>
      <w:r>
        <w:rPr>
          <w:rFonts w:hint="eastAsia" w:ascii="Times New Roman" w:hAnsi="Times New Roman"/>
          <w:kern w:val="0"/>
          <w:szCs w:val="20"/>
        </w:rPr>
        <w:t>建立模型</w:t>
      </w:r>
    </w:p>
    <w:p w14:paraId="5C16C6C6">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校正模型的构建流程主要包括数据清洗、数据恢复和模型建立三个阶段。</w:t>
      </w:r>
    </w:p>
    <w:p w14:paraId="70D48E11">
      <w:pPr>
        <w:widowControl/>
        <w:autoSpaceDE w:val="0"/>
        <w:autoSpaceDN w:val="0"/>
        <w:adjustRightInd/>
        <w:spacing w:line="240" w:lineRule="auto"/>
        <w:ind w:firstLine="420" w:firstLineChars="200"/>
        <w:rPr>
          <w:rFonts w:ascii="Times New Roman" w:hAnsi="Times New Roman"/>
          <w:kern w:val="0"/>
          <w:szCs w:val="20"/>
        </w:rPr>
      </w:pPr>
      <w:bookmarkStart w:id="70" w:name="OLE_LINK91"/>
      <w:r>
        <w:rPr>
          <w:rFonts w:hint="eastAsia" w:ascii="Times New Roman" w:hAnsi="Times New Roman"/>
          <w:kern w:val="0"/>
          <w:szCs w:val="20"/>
        </w:rPr>
        <w:t>数据清洗阶段，采用如马氏距离等异常样本剔除方法对采集数据进行预处理，剔除数据中的噪声和异常值，提升数据的纯净度和可靠性，确保异常值对后续建模的干扰降至最低（</w:t>
      </w:r>
      <w:bookmarkStart w:id="71" w:name="OLE_LINK56"/>
      <w:r>
        <w:rPr>
          <w:rFonts w:hint="eastAsia" w:ascii="Times New Roman" w:hAnsi="Times New Roman"/>
          <w:kern w:val="0"/>
          <w:szCs w:val="20"/>
        </w:rPr>
        <w:t>参见附录A</w:t>
      </w:r>
      <w:bookmarkEnd w:id="71"/>
      <w:r>
        <w:rPr>
          <w:rFonts w:hint="eastAsia" w:ascii="Times New Roman" w:hAnsi="Times New Roman"/>
          <w:kern w:val="0"/>
          <w:szCs w:val="20"/>
        </w:rPr>
        <w:t>）。</w:t>
      </w:r>
    </w:p>
    <w:p w14:paraId="255B10D9">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数据恢复阶段，采用如标准正态转换等的光谱信息恢复技术，以进一步提升数据质量，为后续建模提供高质量的基础数据（参见附录B）。</w:t>
      </w:r>
    </w:p>
    <w:p w14:paraId="31C93D7E">
      <w:pPr>
        <w:widowControl/>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模型建立阶段，搭建相应的建模环境，对校正样品的近红外光谱数据与参考值数据进行关联建模。通过选择合适的建模算法和参数，建立准确的预测模型，并计算模型的有效性指标，以评估模型的性能和适用性，模型有效性评价指标见8.3。</w:t>
      </w:r>
      <w:bookmarkEnd w:id="70"/>
      <w:r>
        <w:rPr>
          <w:rFonts w:hint="eastAsia" w:ascii="Times New Roman" w:hAnsi="Times New Roman"/>
          <w:kern w:val="0"/>
          <w:szCs w:val="20"/>
        </w:rPr>
        <w:t>此外，还可以参考其他被广泛采用的判断模型性能的指标。</w:t>
      </w:r>
    </w:p>
    <w:p w14:paraId="1048C9F1">
      <w:pPr>
        <w:pStyle w:val="108"/>
        <w:spacing w:before="120" w:after="120"/>
        <w:ind w:left="0"/>
        <w:rPr>
          <w:rFonts w:ascii="Times New Roman"/>
        </w:rPr>
      </w:pPr>
      <w:r>
        <w:rPr>
          <w:rFonts w:hint="eastAsia" w:ascii="Times New Roman"/>
        </w:rPr>
        <w:t>校正模型的验证</w:t>
      </w:r>
    </w:p>
    <w:p w14:paraId="5377DABF">
      <w:pPr>
        <w:widowControl/>
        <w:autoSpaceDE w:val="0"/>
        <w:autoSpaceDN w:val="0"/>
        <w:adjustRightInd/>
        <w:spacing w:line="240" w:lineRule="auto"/>
        <w:ind w:firstLine="420"/>
        <w:rPr>
          <w:rFonts w:ascii="Times New Roman" w:hAnsi="Times New Roman"/>
          <w:kern w:val="0"/>
          <w:szCs w:val="20"/>
        </w:rPr>
      </w:pPr>
      <w:r>
        <w:rPr>
          <w:rFonts w:hint="eastAsia" w:ascii="Times New Roman" w:hAnsi="Times New Roman"/>
          <w:kern w:val="0"/>
          <w:szCs w:val="20"/>
        </w:rPr>
        <w:t>应用</w:t>
      </w:r>
      <w:r>
        <w:rPr>
          <w:rFonts w:ascii="Times New Roman" w:hAnsi="Times New Roman"/>
          <w:kern w:val="0"/>
          <w:szCs w:val="20"/>
        </w:rPr>
        <w:t>7.1</w:t>
      </w:r>
      <w:r>
        <w:rPr>
          <w:rFonts w:hint="eastAsia" w:ascii="Times New Roman" w:hAnsi="Times New Roman"/>
          <w:kern w:val="0"/>
          <w:szCs w:val="20"/>
        </w:rPr>
        <w:t>.4所示的规定参考方法测定验证样品的品质数据作为参考值。采用</w:t>
      </w:r>
      <w:r>
        <w:rPr>
          <w:rFonts w:ascii="Times New Roman" w:hAnsi="Times New Roman"/>
          <w:kern w:val="0"/>
          <w:szCs w:val="20"/>
        </w:rPr>
        <w:t>7.1</w:t>
      </w:r>
      <w:r>
        <w:rPr>
          <w:rFonts w:hint="eastAsia" w:ascii="Times New Roman" w:hAnsi="Times New Roman"/>
          <w:kern w:val="0"/>
          <w:szCs w:val="20"/>
        </w:rPr>
        <w:t>.5建立的校正模型对验证样品的近红外光谱进行预测，得到</w:t>
      </w:r>
      <w:r>
        <w:rPr>
          <w:rFonts w:hint="eastAsia" w:ascii="Times New Roman" w:hAnsi="Times New Roman"/>
          <w:kern w:val="0"/>
          <w:szCs w:val="20"/>
          <w:lang w:val="en-US" w:eastAsia="zh-CN"/>
        </w:rPr>
        <w:t>煤炭挥发分、发热量和硫</w:t>
      </w:r>
      <w:r>
        <w:rPr>
          <w:rFonts w:hint="eastAsia" w:ascii="Times New Roman" w:hAnsi="Times New Roman"/>
          <w:kern w:val="0"/>
          <w:szCs w:val="20"/>
        </w:rPr>
        <w:t>的测定结果。</w:t>
      </w:r>
    </w:p>
    <w:p w14:paraId="380FB411">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校正模型的性能评价</w:t>
      </w:r>
    </w:p>
    <w:p w14:paraId="4D7BD27B">
      <w:pPr>
        <w:pStyle w:val="108"/>
        <w:spacing w:before="120" w:after="120"/>
        <w:ind w:left="0"/>
      </w:pPr>
      <w:r>
        <w:rPr>
          <w:rFonts w:hint="eastAsia"/>
        </w:rPr>
        <w:t>总则</w:t>
      </w:r>
    </w:p>
    <w:p w14:paraId="22469E83">
      <w:pPr>
        <w:pStyle w:val="59"/>
        <w:ind w:firstLine="420"/>
      </w:pPr>
      <w:r>
        <w:rPr>
          <w:rFonts w:hint="eastAsia"/>
        </w:rPr>
        <w:t>近红外光谱检测煤质的模型性能需通过预测精度、模型稳定性等多种指标综合评估，以确保其满足模型准确性、鲁棒性与适用性要求。</w:t>
      </w:r>
    </w:p>
    <w:p w14:paraId="0A3BDBAA">
      <w:pPr>
        <w:pStyle w:val="108"/>
        <w:spacing w:before="120" w:after="120"/>
        <w:ind w:left="0"/>
      </w:pPr>
      <w:bookmarkStart w:id="72" w:name="OLE_LINK13"/>
      <w:r>
        <w:rPr>
          <w:rFonts w:hint="eastAsia"/>
        </w:rPr>
        <w:t>结果可视</w:t>
      </w:r>
      <w:bookmarkStart w:id="73" w:name="OLE_LINK14"/>
      <w:r>
        <w:rPr>
          <w:rFonts w:hint="eastAsia"/>
        </w:rPr>
        <w:t>化与散点图分析</w:t>
      </w:r>
      <w:bookmarkEnd w:id="73"/>
    </w:p>
    <w:bookmarkEnd w:id="72"/>
    <w:p w14:paraId="3566B498">
      <w:pPr>
        <w:pStyle w:val="245"/>
      </w:pPr>
      <w:r>
        <w:rPr>
          <w:rFonts w:hint="eastAsia"/>
        </w:rPr>
        <w:t>可视化绘图是校正模型性能统计学评价的重要方法之一，如参考值-近红外测定值与残差-近红外测定值的散点图。数据散点图可以清晰地表现参考值与近红外测定值之间的偏差及异常值的情况，</w:t>
      </w:r>
      <w:bookmarkStart w:id="74" w:name="OLE_LINK80"/>
      <w:r>
        <w:rPr>
          <w:rFonts w:hint="eastAsia"/>
        </w:rPr>
        <w:t>参考值-预测值关系图中，坐标越接近X=Y的参考线，预测效果越好；参考值-残差关系图中，坐标越接近Y=0,预测偏差越小（见图1）。</w:t>
      </w:r>
    </w:p>
    <w:bookmarkEnd w:id="74"/>
    <w:p w14:paraId="402AE8A9">
      <w:pPr>
        <w:pStyle w:val="245"/>
      </w:pPr>
      <w:r>
        <w:rPr>
          <w:rFonts w:hint="eastAsia"/>
        </w:rPr>
        <w:t>残差按公式（1）计算：</w:t>
      </w:r>
    </w:p>
    <w:p w14:paraId="492C7323">
      <w:pPr>
        <w:pStyle w:val="59"/>
        <w:ind w:firstLine="2730" w:firstLineChars="1300"/>
        <w:jc w:val="center"/>
      </w:pPr>
      <m:oMath>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hAnsi="宋体"/>
        </w:rPr>
        <w:t xml:space="preserve">                                                </w:t>
      </w:r>
      <w:r>
        <w:rPr>
          <w:rFonts w:hint="eastAsia" w:ascii="Times New Roman"/>
        </w:rPr>
        <w:t>（1）</w:t>
      </w:r>
    </w:p>
    <w:p w14:paraId="4949D417">
      <w:pPr>
        <w:pStyle w:val="59"/>
        <w:ind w:firstLine="420"/>
      </w:pPr>
      <w:r>
        <w:rPr>
          <w:rFonts w:hint="eastAsia"/>
        </w:rPr>
        <w:t>式中：</w:t>
      </w:r>
    </w:p>
    <w:p w14:paraId="305A500C">
      <w:pPr>
        <w:pStyle w:val="59"/>
        <w:ind w:left="420" w:firstLine="0" w:firstLineChars="0"/>
      </w:pPr>
      <m:oMath>
        <m:sSub>
          <w:bookmarkStart w:id="75" w:name="OLE_LINK57"/>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i</m:t>
            </m:r>
            <m:ctrlPr>
              <w:rPr>
                <w:rFonts w:ascii="Cambria Math" w:hAnsi="Cambria Math"/>
                <w:i/>
              </w:rPr>
            </m:ctrlPr>
            <w:bookmarkEnd w:id="75"/>
          </m:sub>
        </m:sSub>
      </m:oMath>
      <w:bookmarkStart w:id="76" w:name="OLE_LINK60"/>
      <w:r>
        <w:rPr>
          <w:rFonts w:hint="eastAsia"/>
        </w:rPr>
        <w:t xml:space="preserve"> </w:t>
      </w:r>
      <w:bookmarkStart w:id="77" w:name="OLE_LINK65"/>
      <w:r>
        <w:t>——</w:t>
      </w:r>
      <w:bookmarkEnd w:id="77"/>
      <w:r>
        <w:rPr>
          <w:rFonts w:hint="eastAsia"/>
        </w:rPr>
        <w:t>第i个残差</w:t>
      </w:r>
      <w:bookmarkEnd w:id="76"/>
      <w:r>
        <w:rPr>
          <w:rFonts w:hint="eastAsia"/>
        </w:rPr>
        <w:t>；</w:t>
      </w:r>
    </w:p>
    <w:p w14:paraId="13BDA019">
      <w:pPr>
        <w:pStyle w:val="59"/>
        <w:ind w:firstLine="420"/>
      </w:pPr>
      <m:oMath>
        <m:sSub>
          <w:bookmarkStart w:id="78" w:name="OLE_LINK59"/>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oMath>
      <w:bookmarkEnd w:id="78"/>
      <w:bookmarkStart w:id="79" w:name="OLE_LINK61"/>
      <w:r>
        <w:rPr>
          <w:rFonts w:hint="eastAsia"/>
        </w:rPr>
        <w:t xml:space="preserve"> </w:t>
      </w:r>
      <w:r>
        <w:t>——</w:t>
      </w:r>
      <w:r>
        <w:rPr>
          <w:rFonts w:hint="eastAsia"/>
        </w:rPr>
        <w:t>第i个样品所对应的参考值</w:t>
      </w:r>
      <w:bookmarkEnd w:id="79"/>
      <w:r>
        <w:rPr>
          <w:rFonts w:hint="eastAsia"/>
        </w:rPr>
        <w:t>；</w:t>
      </w:r>
    </w:p>
    <w:p w14:paraId="6CB39A59">
      <w:pPr>
        <w:pStyle w:val="59"/>
        <w:ind w:firstLine="420"/>
      </w:pPr>
      <m:oMath>
        <m:sSub>
          <m:sSubPr>
            <m:ctrlPr>
              <w:rPr>
                <w:rFonts w:ascii="Cambria Math" w:hAnsi="Cambria Math"/>
                <w:i/>
              </w:rPr>
            </m:ctrlPr>
          </m:sSubPr>
          <m:e>
            <m:acc>
              <w:bookmarkStart w:id="80" w:name="OLE_LINK58"/>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w:bookmarkEnd w:id="80"/>
            <m:ctrlPr>
              <w:rPr>
                <w:rFonts w:ascii="Cambria Math" w:hAnsi="Cambria Math"/>
                <w:i/>
              </w:rPr>
            </m:ctrlPr>
          </m:sub>
        </m:sSub>
      </m:oMath>
      <w:bookmarkStart w:id="81" w:name="OLE_LINK62"/>
      <w:r>
        <w:rPr>
          <w:rFonts w:hint="eastAsia"/>
        </w:rPr>
        <w:t xml:space="preserve"> </w:t>
      </w:r>
      <w:r>
        <w:t>——</w:t>
      </w:r>
      <w:r>
        <w:rPr>
          <w:rFonts w:hint="eastAsia"/>
        </w:rPr>
        <w:t>第i个样品近红外测定值</w:t>
      </w:r>
      <w:bookmarkEnd w:id="81"/>
      <w:r>
        <w:rPr>
          <w:rFonts w:hint="eastAsia"/>
        </w:rPr>
        <w:t>。</w:t>
      </w:r>
    </w:p>
    <w:p w14:paraId="41353C2C">
      <w:pPr>
        <w:pStyle w:val="59"/>
        <w:ind w:firstLine="0" w:firstLineChars="0"/>
        <w:jc w:val="center"/>
      </w:pPr>
      <w:r>
        <w:drawing>
          <wp:inline distT="0" distB="0" distL="0" distR="0">
            <wp:extent cx="4133850" cy="1719580"/>
            <wp:effectExtent l="0" t="0" r="0" b="0"/>
            <wp:docPr id="45321620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216205" name="图片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151204" cy="1727299"/>
                    </a:xfrm>
                    <a:prstGeom prst="rect">
                      <a:avLst/>
                    </a:prstGeom>
                    <a:noFill/>
                    <a:ln>
                      <a:noFill/>
                    </a:ln>
                  </pic:spPr>
                </pic:pic>
              </a:graphicData>
            </a:graphic>
          </wp:inline>
        </w:drawing>
      </w:r>
    </w:p>
    <w:p w14:paraId="325236EE">
      <w:pPr>
        <w:pStyle w:val="59"/>
        <w:ind w:firstLine="0" w:firstLineChars="0"/>
        <w:jc w:val="center"/>
      </w:pPr>
      <w:r>
        <w:rPr>
          <w:rFonts w:hint="eastAsia"/>
        </w:rPr>
        <w:t>图1 参考值-预测值关系图</w:t>
      </w:r>
    </w:p>
    <w:p w14:paraId="1712253A">
      <w:pPr>
        <w:pStyle w:val="108"/>
        <w:spacing w:before="120" w:after="120"/>
        <w:ind w:left="0"/>
      </w:pPr>
      <w:r>
        <w:rPr>
          <w:rFonts w:hint="eastAsia"/>
        </w:rPr>
        <w:t>模型预测精度评价指标</w:t>
      </w:r>
    </w:p>
    <w:p w14:paraId="2E2AD09A">
      <w:pPr>
        <w:pStyle w:val="59"/>
        <w:ind w:firstLine="420"/>
      </w:pPr>
      <w:bookmarkStart w:id="82" w:name="OLE_LINK51"/>
      <w:r>
        <w:rPr>
          <w:rFonts w:hint="eastAsia"/>
        </w:rPr>
        <w:t>模型预测的有效性可用预测标准误差（</w:t>
      </w:r>
      <w:r>
        <w:rPr>
          <w:rFonts w:ascii="Times New Roman"/>
        </w:rPr>
        <w:t>SEP</w:t>
      </w:r>
      <w:r>
        <w:rPr>
          <w:rFonts w:hint="eastAsia"/>
        </w:rPr>
        <w:t>）和决定系数（</w:t>
      </w:r>
      <w:r>
        <w:rPr>
          <w:rFonts w:ascii="Times New Roman"/>
        </w:rPr>
        <w:t>R</w:t>
      </w:r>
      <w:r>
        <w:rPr>
          <w:rFonts w:ascii="Times New Roman"/>
          <w:vertAlign w:val="superscript"/>
        </w:rPr>
        <w:t>2</w:t>
      </w:r>
      <w:r>
        <w:rPr>
          <w:rFonts w:hint="eastAsia"/>
        </w:rPr>
        <w:t>）作为评价指标。</w:t>
      </w:r>
    </w:p>
    <w:bookmarkEnd w:id="82"/>
    <w:p w14:paraId="3B917611">
      <w:pPr>
        <w:pStyle w:val="68"/>
        <w:spacing w:before="120" w:after="120"/>
        <w:ind w:left="0"/>
        <w:rPr>
          <w:rFonts w:ascii="Times New Roman"/>
        </w:rPr>
      </w:pPr>
      <w:bookmarkStart w:id="83" w:name="OLE_LINK20"/>
      <w:bookmarkStart w:id="84" w:name="OLE_LINK28"/>
      <w:r>
        <w:rPr>
          <w:rFonts w:hint="eastAsia" w:ascii="宋体" w:hAnsi="宋体" w:eastAsia="宋体"/>
          <w:b/>
          <w:bCs/>
        </w:rPr>
        <w:t>预测标准误</w:t>
      </w:r>
      <w:bookmarkEnd w:id="83"/>
      <w:r>
        <w:rPr>
          <w:rFonts w:hint="eastAsia" w:ascii="Times New Roman"/>
        </w:rPr>
        <w:t>差</w:t>
      </w:r>
    </w:p>
    <w:bookmarkEnd w:id="84"/>
    <w:p w14:paraId="566B4703">
      <w:pPr>
        <w:pStyle w:val="245"/>
      </w:pP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SEP</m:t>
            </m:r>
            <m:ctrlPr>
              <w:rPr>
                <w:rFonts w:ascii="Cambria Math" w:hAnsi="Cambria Math"/>
                <w:i/>
              </w:rPr>
            </m:ctrlPr>
          </m:sub>
        </m:sSub>
      </m:oMath>
      <w:r>
        <w:rPr>
          <w:rFonts w:hint="eastAsia"/>
        </w:rPr>
        <w:t>是衡量模型在独立验证数据集上的预测性能的指标，评估模型对未知数据的预测能力，</w:t>
      </w:r>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SEP</m:t>
            </m:r>
            <m:ctrlPr>
              <w:rPr>
                <w:rFonts w:ascii="Cambria Math" w:hAnsi="Cambria Math"/>
                <w:i/>
              </w:rPr>
            </m:ctrlPr>
          </m:sub>
        </m:sSub>
      </m:oMath>
      <w:r>
        <w:rPr>
          <w:rFonts w:hint="eastAsia"/>
        </w:rPr>
        <w:t>按照公式（2）进行计算：</w:t>
      </w:r>
    </w:p>
    <w:p w14:paraId="6C9019F3">
      <w:pPr>
        <w:pStyle w:val="245"/>
        <w:ind w:firstLine="2730" w:firstLineChars="1300"/>
      </w:pPr>
      <w:bookmarkStart w:id="85" w:name="OLE_LINK75"/>
      <m:oMath>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SEP</m:t>
            </m:r>
            <m:ctrlPr>
              <w:rPr>
                <w:rFonts w:ascii="Cambria Math" w:hAnsi="Cambria Math"/>
                <w:i/>
              </w:rPr>
            </m:ctrlPr>
            <w:bookmarkEnd w:id="85"/>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hint="eastAsia" w:ascii="Cambria Math" w:hAnsi="Cambria Math"/>
                      </w:rPr>
                      <m:t>m</m:t>
                    </m:r>
                    <m:ctrlPr>
                      <w:rPr>
                        <w:rFonts w:ascii="Cambria Math" w:hAnsi="Cambria Math"/>
                        <w:i/>
                      </w:rPr>
                    </m:ctrlPr>
                  </m:sup>
                  <m:e>
                    <m:r>
                      <m:rPr/>
                      <w:rPr>
                        <w:rFonts w:ascii="Cambria Math" w:hAnsi="Cambria Math"/>
                      </w:rPr>
                      <m:t>(</m:t>
                    </m:r>
                    <m:sSup>
                      <m:sSupPr>
                        <m:ctrlPr>
                          <w:rPr>
                            <w:rFonts w:ascii="Cambria Math" w:hAnsi="Cambria Math"/>
                            <w:i/>
                          </w:rPr>
                        </m:ctrlPr>
                      </m:sSupPr>
                      <m:e>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nary>
                <m:ctrlPr>
                  <w:rPr>
                    <w:rFonts w:ascii="Cambria Math" w:hAnsi="Cambria Math"/>
                    <w:i/>
                  </w:rPr>
                </m:ctrlPr>
              </m:num>
              <m:den>
                <m:r>
                  <m:rPr/>
                  <w:rPr>
                    <w:rFonts w:ascii="Cambria Math" w:hAnsi="Cambria Math"/>
                  </w:rPr>
                  <m:t>m−1</m:t>
                </m:r>
                <m:ctrlPr>
                  <w:rPr>
                    <w:rFonts w:ascii="Cambria Math" w:hAnsi="Cambria Math"/>
                    <w:i/>
                  </w:rPr>
                </m:ctrlPr>
              </m:den>
            </m:f>
            <m:ctrlPr>
              <w:rPr>
                <w:rFonts w:ascii="Cambria Math" w:hAnsi="Cambria Math"/>
                <w:i/>
              </w:rPr>
            </m:ctrlPr>
          </m:e>
        </m:rad>
      </m:oMath>
      <w:bookmarkStart w:id="86" w:name="OLE_LINK66"/>
      <w:r>
        <w:rPr>
          <w:rFonts w:hint="eastAsia" w:ascii="宋体" w:hAnsi="宋体"/>
        </w:rPr>
        <w:t xml:space="preserve">                                         </w:t>
      </w:r>
      <w:bookmarkEnd w:id="86"/>
      <w:r>
        <w:rPr>
          <w:rFonts w:hint="eastAsia" w:ascii="宋体" w:hAnsi="宋体"/>
        </w:rPr>
        <w:t>（</w:t>
      </w:r>
      <w:r>
        <w:rPr>
          <w:rFonts w:hint="eastAsia"/>
        </w:rPr>
        <w:t>2</w:t>
      </w:r>
      <w:r>
        <w:rPr>
          <w:rFonts w:hint="eastAsia" w:ascii="宋体" w:hAnsi="宋体"/>
        </w:rPr>
        <w:t>）</w:t>
      </w:r>
    </w:p>
    <w:p w14:paraId="6F4073A3">
      <w:pPr>
        <w:spacing w:line="240" w:lineRule="auto"/>
        <w:ind w:firstLine="420" w:firstLineChars="200"/>
        <w:rPr>
          <w:rFonts w:ascii="Times New Roman" w:hAnsi="Times New Roman"/>
          <w:kern w:val="0"/>
          <w:szCs w:val="20"/>
        </w:rPr>
      </w:pPr>
      <w:bookmarkStart w:id="87" w:name="OLE_LINK33"/>
      <w:r>
        <w:rPr>
          <w:rFonts w:hint="eastAsia" w:ascii="Times New Roman" w:hAnsi="Times New Roman"/>
          <w:kern w:val="0"/>
          <w:szCs w:val="20"/>
        </w:rPr>
        <w:t>式中：</w:t>
      </w:r>
    </w:p>
    <w:p w14:paraId="16A137DE">
      <w:pPr>
        <w:spacing w:line="240" w:lineRule="auto"/>
        <w:ind w:firstLine="420" w:firstLineChars="200"/>
        <w:rPr>
          <w:rFonts w:ascii="Times New Roman" w:hAnsi="Times New Roman"/>
          <w:kern w:val="0"/>
          <w:szCs w:val="20"/>
        </w:rPr>
      </w:pPr>
      <w:bookmarkStart w:id="88" w:name="OLE_LINK16"/>
      <m:oMath>
        <m:sSub>
          <m:sSubPr>
            <m:ctrlPr>
              <w:rPr>
                <w:rFonts w:ascii="Cambria Math" w:hAnsi="Cambria Math"/>
                <w:kern w:val="0"/>
                <w:szCs w:val="20"/>
              </w:rPr>
            </m:ctrlPr>
          </m:sSubPr>
          <m:e>
            <m:acc>
              <m:accPr>
                <m:ctrlPr>
                  <w:rPr>
                    <w:rFonts w:ascii="Cambria Math" w:hAnsi="Cambria Math"/>
                    <w:kern w:val="0"/>
                    <w:szCs w:val="20"/>
                  </w:rPr>
                </m:ctrlPr>
              </m:accPr>
              <m:e>
                <m:r>
                  <m:rPr/>
                  <w:rPr>
                    <w:rFonts w:ascii="Cambria Math" w:hAnsi="Cambria Math"/>
                    <w:kern w:val="0"/>
                    <w:szCs w:val="20"/>
                  </w:rPr>
                  <m:t>y</m:t>
                </m:r>
                <m:ctrlPr>
                  <w:rPr>
                    <w:rFonts w:ascii="Cambria Math" w:hAnsi="Cambria Math"/>
                    <w:kern w:val="0"/>
                    <w:szCs w:val="20"/>
                  </w:rPr>
                </m:ctrlPr>
              </m:e>
            </m:acc>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bookmarkStart w:id="89" w:name="OLE_LINK67"/>
      <w:r>
        <w:rPr>
          <w:rFonts w:ascii="Times New Roman" w:hAnsi="Times New Roman"/>
          <w:kern w:val="0"/>
          <w:szCs w:val="20"/>
        </w:rPr>
        <w:t>——</w:t>
      </w:r>
      <w:bookmarkEnd w:id="89"/>
      <w:bookmarkStart w:id="90" w:name="OLE_LINK17"/>
      <w:r>
        <w:rPr>
          <w:rFonts w:hint="eastAsia" w:ascii="Times New Roman" w:hAnsi="Times New Roman"/>
          <w:kern w:val="0"/>
          <w:szCs w:val="20"/>
        </w:rPr>
        <w:t>第i个验证样品的近红外测定值；</w:t>
      </w:r>
      <w:bookmarkEnd w:id="90"/>
    </w:p>
    <w:p w14:paraId="41E8F8AB">
      <w:pPr>
        <w:spacing w:line="240" w:lineRule="auto"/>
        <w:ind w:firstLine="420" w:firstLineChars="200"/>
        <w:rPr>
          <w:rFonts w:ascii="Times New Roman" w:hAnsi="Times New Roman"/>
          <w:kern w:val="0"/>
          <w:szCs w:val="20"/>
        </w:rPr>
      </w:pPr>
      <m:oMath>
        <m:sSub>
          <w:bookmarkStart w:id="91" w:name="OLE_LINK18"/>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第i个验证样品对应的参考值；</w:t>
      </w:r>
    </w:p>
    <w:bookmarkEnd w:id="91"/>
    <w:p w14:paraId="21989ABB">
      <w:pPr>
        <w:spacing w:line="240" w:lineRule="auto"/>
        <w:ind w:firstLine="420" w:firstLineChars="200"/>
        <w:rPr>
          <w:rFonts w:ascii="Times New Roman" w:hAnsi="Times New Roman"/>
          <w:kern w:val="0"/>
          <w:szCs w:val="20"/>
        </w:rPr>
      </w:pPr>
      <m:oMath>
        <m:r>
          <m:rPr/>
          <w:rPr>
            <w:rFonts w:ascii="Cambria Math" w:hAnsi="Cambria Math"/>
            <w:kern w:val="0"/>
            <w:szCs w:val="20"/>
          </w:rPr>
          <m:t>m</m:t>
        </m:r>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用于验证模型的样品数。</w:t>
      </w:r>
    </w:p>
    <w:bookmarkEnd w:id="87"/>
    <w:bookmarkEnd w:id="88"/>
    <w:p w14:paraId="7674ACE8">
      <w:pPr>
        <w:pStyle w:val="68"/>
        <w:spacing w:before="120" w:after="120"/>
        <w:ind w:left="0"/>
        <w:rPr>
          <w:rFonts w:hint="eastAsia" w:ascii="宋体" w:hAnsi="宋体" w:eastAsia="宋体"/>
          <w:b/>
          <w:bCs/>
        </w:rPr>
      </w:pPr>
      <w:r>
        <w:rPr>
          <w:rFonts w:hint="eastAsia" w:ascii="宋体" w:hAnsi="宋体" w:eastAsia="宋体"/>
          <w:b/>
          <w:bCs/>
        </w:rPr>
        <w:t>决定系数</w:t>
      </w:r>
    </w:p>
    <w:p w14:paraId="751A2A3A">
      <w:pPr>
        <w:pStyle w:val="245"/>
      </w:pPr>
      <w:r>
        <w:rPr>
          <w:rFonts w:hint="eastAsia"/>
        </w:rPr>
        <w:t>决定系数R</w:t>
      </w:r>
      <w:r>
        <w:rPr>
          <w:rFonts w:hint="eastAsia"/>
          <w:vertAlign w:val="superscript"/>
        </w:rPr>
        <w:t>2</w:t>
      </w:r>
      <w:r>
        <w:rPr>
          <w:rFonts w:hint="eastAsia"/>
        </w:rPr>
        <w:t>是指校正模型可解释的变异占总变异的比重，是评价模型拟合程度的一项指标，是相关系数R的平方。R</w:t>
      </w:r>
      <w:r>
        <w:rPr>
          <w:rFonts w:hint="eastAsia"/>
          <w:vertAlign w:val="superscript"/>
        </w:rPr>
        <w:t>2</w:t>
      </w:r>
      <w:r>
        <w:rPr>
          <w:rFonts w:hint="eastAsia"/>
        </w:rPr>
        <w:t>取值范围为0~1，R</w:t>
      </w:r>
      <w:r>
        <w:rPr>
          <w:rFonts w:hint="eastAsia"/>
          <w:vertAlign w:val="superscript"/>
        </w:rPr>
        <w:t>2</w:t>
      </w:r>
      <w:r>
        <w:rPr>
          <w:rFonts w:hint="eastAsia"/>
        </w:rPr>
        <w:t>越大，模型拟合越好，越接近1越好。决定系数按式（3）进行计算：</w:t>
      </w:r>
    </w:p>
    <w:p w14:paraId="07D2ED48">
      <w:pPr>
        <w:spacing w:line="240" w:lineRule="auto"/>
        <w:ind w:firstLine="2730" w:firstLineChars="1300"/>
        <w:rPr>
          <w:rFonts w:hint="eastAsia" w:ascii="宋体" w:hAnsi="宋体"/>
        </w:rPr>
      </w:pPr>
      <m:oMath>
        <m:sSup>
          <m:sSupPr>
            <m:ctrlPr>
              <w:rPr>
                <w:rFonts w:ascii="Cambria Math" w:hAnsi="Cambria Math"/>
                <w:i/>
              </w:rPr>
            </m:ctrlPr>
          </m:sSupPr>
          <m:e>
            <m:r>
              <m:rPr/>
              <w:rPr>
                <w:rFonts w:ascii="Cambria Math" w:hAnsi="Cambria Math"/>
              </w:rPr>
              <m:t>R</m:t>
            </m:r>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=1−</m:t>
        </m:r>
        <m:f>
          <m:fPr>
            <m:ctrlPr>
              <w:rPr>
                <w:rFonts w:ascii="Cambria Math" w:hAnsi="Cambria Math"/>
                <w:i/>
              </w:rPr>
            </m:ctrlPr>
          </m:fPr>
          <m:num>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hint="eastAsia" w:ascii="Cambria Math" w:hAnsi="Cambria Math"/>
                  </w:rPr>
                  <m:t>m</m:t>
                </m:r>
                <m:ctrlPr>
                  <w:rPr>
                    <w:rFonts w:ascii="Cambria Math" w:hAnsi="Cambria Math"/>
                    <w:i/>
                  </w:rPr>
                </m:ctrlPr>
              </m:sup>
              <m:e>
                <m:sSup>
                  <m:sSupPr>
                    <m:ctrlPr>
                      <w:rPr>
                        <w:rFonts w:ascii="Cambria Math" w:hAnsi="Cambria Math"/>
                        <w:i/>
                      </w:rPr>
                    </m:ctrlPr>
                  </m:sSupPr>
                  <m:e>
                    <m:r>
                      <m:rPr/>
                      <w:rPr>
                        <w:rFonts w:ascii="Cambria Math" w:hAnsi="Cambria Math"/>
                      </w:rPr>
                      <m:t>(</m:t>
                    </m:r>
                    <m:sSub>
                      <m:sSubPr>
                        <m:ctrlPr>
                          <w:rPr>
                            <w:rFonts w:ascii="Cambria Math" w:hAnsi="Cambria Math"/>
                            <w:i/>
                          </w:rPr>
                        </m:ctrlPr>
                      </m:sSubPr>
                      <m:e>
                        <m:acc>
                          <m:accPr>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w:bookmarkStart w:id="92" w:name="OLE_LINK74"/>
                        <m:r>
                          <m:rPr/>
                          <w:rPr>
                            <w:rFonts w:ascii="Cambria Math" w:hAnsi="Cambria Math"/>
                          </w:rPr>
                          <m:t>y</m:t>
                        </m:r>
                        <m:ctrlPr>
                          <w:rPr>
                            <w:rFonts w:ascii="Cambria Math" w:hAnsi="Cambria Math"/>
                            <w:i/>
                          </w:rPr>
                        </m:ctrlPr>
                      </m:e>
                      <m:sub>
                        <m:r>
                          <m:rPr/>
                          <w:rPr>
                            <w:rFonts w:ascii="Cambria Math" w:hAnsi="Cambria Math"/>
                          </w:rPr>
                          <m:t>i</m:t>
                        </m:r>
                        <w:bookmarkEnd w:id="92"/>
                        <m:ctrlPr>
                          <w:rPr>
                            <w:rFonts w:ascii="Cambria Math" w:hAnsi="Cambria Math"/>
                            <w:i/>
                          </w:rPr>
                        </m:ctrlPr>
                      </m:sub>
                    </m:sSub>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nary>
            <m:ctrlPr>
              <w:rPr>
                <w:rFonts w:ascii="Cambria Math" w:hAnsi="Cambria Math"/>
                <w:i/>
              </w:rPr>
            </m:ctrlPr>
          </m:num>
          <m:den>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m</m:t>
                </m:r>
                <m:ctrlPr>
                  <w:rPr>
                    <w:rFonts w:ascii="Cambria Math" w:hAnsi="Cambria Math"/>
                    <w:i/>
                  </w:rPr>
                </m:ctrlPr>
              </m:sup>
              <m:e>
                <m:sSup>
                  <m:sSupPr>
                    <m:ctrlPr>
                      <w:rPr>
                        <w:rFonts w:ascii="Cambria Math" w:hAnsi="Cambria Math"/>
                        <w:i/>
                      </w:rPr>
                    </m:ctrlPr>
                  </m:sSupPr>
                  <m:e>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y</m:t>
                            </m:r>
                            <m:ctrlPr>
                              <w:rPr>
                                <w:rFonts w:ascii="Cambria Math" w:hAnsi="Cambria Math"/>
                                <w:i/>
                              </w:rPr>
                            </m:ctrlPr>
                          </m:e>
                        </m:acc>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nary>
            <m:ctrlPr>
              <w:rPr>
                <w:rFonts w:ascii="Cambria Math" w:hAnsi="Cambria Math"/>
                <w:i/>
              </w:rPr>
            </m:ctrlPr>
          </m:den>
        </m:f>
      </m:oMath>
      <w:r>
        <w:rPr>
          <w:rFonts w:hint="eastAsia" w:ascii="宋体" w:hAnsi="宋体"/>
        </w:rPr>
        <w:t xml:space="preserve">                                        （</w:t>
      </w:r>
      <w:r>
        <w:rPr>
          <w:rFonts w:hint="eastAsia" w:ascii="Times New Roman" w:hAnsi="Times New Roman"/>
        </w:rPr>
        <w:t>3</w:t>
      </w:r>
      <w:r>
        <w:rPr>
          <w:rFonts w:hint="eastAsia" w:ascii="宋体" w:hAnsi="宋体"/>
        </w:rPr>
        <w:t>）</w:t>
      </w:r>
    </w:p>
    <w:p w14:paraId="41E5A086">
      <w:pPr>
        <w:spacing w:line="240" w:lineRule="auto"/>
        <w:ind w:firstLine="420" w:firstLineChars="200"/>
        <w:rPr>
          <w:rFonts w:ascii="Times New Roman" w:hAnsi="Times New Roman"/>
          <w:kern w:val="0"/>
          <w:szCs w:val="20"/>
        </w:rPr>
      </w:pPr>
      <w:bookmarkStart w:id="93" w:name="_Hlk195808007"/>
      <w:r>
        <w:rPr>
          <w:rFonts w:hint="eastAsia" w:ascii="Times New Roman" w:hAnsi="Times New Roman"/>
          <w:kern w:val="0"/>
          <w:szCs w:val="20"/>
        </w:rPr>
        <w:t>式中：</w:t>
      </w:r>
    </w:p>
    <w:p w14:paraId="214C0574">
      <w:pPr>
        <w:spacing w:line="240" w:lineRule="auto"/>
        <w:ind w:firstLine="420" w:firstLineChars="200"/>
        <w:rPr>
          <w:rFonts w:ascii="Times New Roman" w:hAnsi="Times New Roman"/>
          <w:kern w:val="0"/>
          <w:szCs w:val="20"/>
        </w:rPr>
      </w:pPr>
      <w:bookmarkStart w:id="94" w:name="OLE_LINK81"/>
      <m:oMath>
        <m:sSub>
          <m:sSubPr>
            <m:ctrlPr>
              <w:rPr>
                <w:rFonts w:ascii="Cambria Math" w:hAnsi="Cambria Math"/>
                <w:kern w:val="0"/>
                <w:szCs w:val="20"/>
              </w:rPr>
            </m:ctrlPr>
          </m:sSubPr>
          <m:e>
            <m:acc>
              <w:bookmarkStart w:id="95" w:name="OLE_LINK55"/>
              <m:accPr>
                <m:ctrlPr>
                  <w:rPr>
                    <w:rFonts w:ascii="Cambria Math" w:hAnsi="Cambria Math"/>
                    <w:kern w:val="0"/>
                    <w:szCs w:val="20"/>
                  </w:rPr>
                </m:ctrlPr>
              </m:accPr>
              <m:e>
                <m:r>
                  <m:rPr/>
                  <w:rPr>
                    <w:rFonts w:ascii="Cambria Math" w:hAnsi="Cambria Math"/>
                    <w:kern w:val="0"/>
                    <w:szCs w:val="20"/>
                  </w:rPr>
                  <m:t>y</m:t>
                </m:r>
                <m:ctrlPr>
                  <w:rPr>
                    <w:rFonts w:ascii="Cambria Math" w:hAnsi="Cambria Math"/>
                    <w:kern w:val="0"/>
                    <w:szCs w:val="20"/>
                  </w:rPr>
                </m:ctrlPr>
              </m:e>
            </m:acc>
            <m:ctrlPr>
              <w:rPr>
                <w:rFonts w:ascii="Cambria Math" w:hAnsi="Cambria Math"/>
                <w:kern w:val="0"/>
                <w:szCs w:val="20"/>
              </w:rPr>
            </m:ctrlPr>
          </m:e>
          <m:sub>
            <m:r>
              <m:rPr/>
              <w:rPr>
                <w:rFonts w:ascii="Cambria Math" w:hAnsi="Cambria Math"/>
                <w:kern w:val="0"/>
                <w:szCs w:val="20"/>
              </w:rPr>
              <m:t>i</m:t>
            </m:r>
            <w:bookmarkEnd w:id="95"/>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第i个验证样品的近红外测定值；</w:t>
      </w:r>
    </w:p>
    <w:p w14:paraId="0239A7EB">
      <w:pPr>
        <w:spacing w:line="240" w:lineRule="auto"/>
        <w:ind w:firstLine="420" w:firstLineChars="200"/>
        <w:rPr>
          <w:rFonts w:ascii="Times New Roman" w:hAnsi="Times New Roman"/>
          <w:kern w:val="0"/>
          <w:szCs w:val="20"/>
        </w:rPr>
      </w:pPr>
      <m:oMath>
        <m:sSub>
          <w:bookmarkStart w:id="96" w:name="OLE_LINK76"/>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w:bookmarkEnd w:id="96"/>
          </m:sub>
        </m:sSub>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第i个验证样品对应的参考值；</w:t>
      </w:r>
    </w:p>
    <w:p w14:paraId="7C7A05A2">
      <w:pPr>
        <w:spacing w:line="240" w:lineRule="auto"/>
        <w:ind w:firstLine="420" w:firstLineChars="200"/>
        <w:rPr>
          <w:rFonts w:ascii="Times New Roman" w:hAnsi="Times New Roman"/>
        </w:rPr>
      </w:pPr>
      <m:oMath>
        <m:sSub>
          <m:sSubPr>
            <m:ctrlPr>
              <w:rPr>
                <w:rFonts w:ascii="Cambria Math" w:hAnsi="Cambria Math"/>
                <w:kern w:val="0"/>
                <w:szCs w:val="20"/>
              </w:rPr>
            </m:ctrlPr>
          </m:sSubPr>
          <m:e>
            <m:acc>
              <m:accPr>
                <m:chr m:val="̅"/>
                <m:ctrlPr>
                  <w:rPr>
                    <w:rFonts w:ascii="Cambria Math" w:hAnsi="Cambria Math"/>
                    <w:i/>
                    <w:kern w:val="0"/>
                    <w:szCs w:val="20"/>
                  </w:rPr>
                </m:ctrlPr>
              </m:accPr>
              <m:e>
                <m:r>
                  <m:rPr/>
                  <w:rPr>
                    <w:rFonts w:ascii="Cambria Math" w:hAnsi="Cambria Math"/>
                    <w:kern w:val="0"/>
                    <w:szCs w:val="20"/>
                  </w:rPr>
                  <m:t>y</m:t>
                </m:r>
                <m:ctrlPr>
                  <w:rPr>
                    <w:rFonts w:ascii="Cambria Math" w:hAnsi="Cambria Math"/>
                    <w:i/>
                    <w:kern w:val="0"/>
                    <w:szCs w:val="20"/>
                  </w:rPr>
                </m:ctrlPr>
              </m:e>
            </m:acc>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 xml:space="preserve"> </w:t>
      </w:r>
      <w:r>
        <w:rPr>
          <w:rFonts w:ascii="Times New Roman" w:hAnsi="Times New Roman"/>
          <w:kern w:val="0"/>
          <w:szCs w:val="20"/>
        </w:rPr>
        <w:t>——</w:t>
      </w:r>
      <m:oMath>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1</m:t>
            </m:r>
            <m:ctrlPr>
              <w:rPr>
                <w:rFonts w:ascii="Cambria Math" w:hAnsi="Cambria Math"/>
                <w:kern w:val="0"/>
                <w:szCs w:val="20"/>
              </w:rPr>
            </m:ctrlPr>
          </m:sub>
        </m:sSub>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2</m:t>
            </m:r>
            <m:ctrlPr>
              <w:rPr>
                <w:rFonts w:ascii="Cambria Math" w:hAnsi="Cambria Math"/>
                <w:kern w:val="0"/>
                <w:szCs w:val="20"/>
              </w:rPr>
            </m:ctrlPr>
          </m:sub>
        </m:sSub>
      </m:oMath>
      <w:r>
        <w:rPr>
          <w:rFonts w:hint="eastAsia" w:ascii="Cambria Math" w:hAnsi="Cambria Math"/>
          <w:kern w:val="0"/>
          <w:szCs w:val="20"/>
        </w:rPr>
        <w:t>,</w:t>
      </w:r>
      <w:r>
        <w:rPr>
          <w:rFonts w:ascii="Cambria Math" w:hAnsi="Cambria Math"/>
          <w:kern w:val="0"/>
          <w:szCs w:val="20"/>
        </w:rPr>
        <w:t>…</w:t>
      </w:r>
      <w:r>
        <w:rPr>
          <w:rFonts w:hint="eastAsia" w:ascii="Cambria Math" w:hAnsi="Cambria Math"/>
          <w:kern w:val="0"/>
          <w:szCs w:val="20"/>
        </w:rPr>
        <w:t>,</w:t>
      </w:r>
      <m:oMath>
        <m:sSub>
          <m:sSubPr>
            <m:ctrlPr>
              <w:rPr>
                <w:rFonts w:ascii="Cambria Math" w:hAnsi="Cambria Math"/>
                <w:kern w:val="0"/>
                <w:szCs w:val="20"/>
              </w:rPr>
            </m:ctrlPr>
          </m:sSubPr>
          <m:e>
            <m:r>
              <m:rPr/>
              <w:rPr>
                <w:rFonts w:ascii="Cambria Math" w:hAnsi="Cambria Math"/>
                <w:kern w:val="0"/>
                <w:szCs w:val="20"/>
              </w:rPr>
              <m:t>y</m:t>
            </m:r>
            <m:ctrlPr>
              <w:rPr>
                <w:rFonts w:ascii="Cambria Math" w:hAnsi="Cambria Math"/>
                <w:kern w:val="0"/>
                <w:szCs w:val="20"/>
              </w:rPr>
            </m:ctrlPr>
          </m:e>
          <m:sub>
            <m:r>
              <m:rPr/>
              <w:rPr>
                <w:rFonts w:ascii="Cambria Math" w:hAnsi="Cambria Math"/>
                <w:kern w:val="0"/>
                <w:szCs w:val="20"/>
              </w:rPr>
              <m:t>i</m:t>
            </m:r>
            <m:ctrlPr>
              <w:rPr>
                <w:rFonts w:ascii="Cambria Math" w:hAnsi="Cambria Math"/>
                <w:kern w:val="0"/>
                <w:szCs w:val="20"/>
              </w:rPr>
            </m:ctrlPr>
          </m:sub>
        </m:sSub>
      </m:oMath>
      <w:r>
        <w:rPr>
          <w:rFonts w:hint="eastAsia" w:ascii="Times New Roman" w:hAnsi="Times New Roman"/>
          <w:kern w:val="0"/>
          <w:szCs w:val="20"/>
        </w:rPr>
        <w:t>的均值；</w:t>
      </w:r>
    </w:p>
    <w:p w14:paraId="70371787">
      <w:pPr>
        <w:spacing w:line="240" w:lineRule="auto"/>
        <w:ind w:firstLine="420" w:firstLineChars="200"/>
        <w:rPr>
          <w:rFonts w:ascii="Times New Roman" w:hAnsi="Times New Roman"/>
          <w:kern w:val="0"/>
          <w:szCs w:val="20"/>
        </w:rPr>
      </w:pPr>
      <m:oMath>
        <m:r>
          <m:rPr/>
          <w:rPr>
            <w:rFonts w:hint="eastAsia" w:ascii="Cambria Math" w:hAnsi="Cambria Math"/>
            <w:kern w:val="0"/>
            <w:szCs w:val="20"/>
          </w:rPr>
          <m:t>m</m:t>
        </m:r>
      </m:oMath>
      <w:r>
        <w:rPr>
          <w:rFonts w:hint="eastAsia" w:ascii="Times New Roman" w:hAnsi="Times New Roman"/>
          <w:kern w:val="0"/>
          <w:szCs w:val="20"/>
        </w:rPr>
        <w:t xml:space="preserve"> </w:t>
      </w:r>
      <w:r>
        <w:rPr>
          <w:rFonts w:ascii="Times New Roman" w:hAnsi="Times New Roman"/>
          <w:kern w:val="0"/>
          <w:szCs w:val="20"/>
        </w:rPr>
        <w:t>——</w:t>
      </w:r>
      <w:r>
        <w:rPr>
          <w:rFonts w:hint="eastAsia" w:ascii="Times New Roman" w:hAnsi="Times New Roman"/>
          <w:kern w:val="0"/>
          <w:szCs w:val="20"/>
        </w:rPr>
        <w:t>用于验证模型的样品数。</w:t>
      </w:r>
    </w:p>
    <w:bookmarkEnd w:id="93"/>
    <w:bookmarkEnd w:id="94"/>
    <w:p w14:paraId="0C8E83AB">
      <w:pPr>
        <w:pStyle w:val="108"/>
        <w:spacing w:before="120" w:after="120"/>
        <w:ind w:left="0"/>
      </w:pPr>
      <w:bookmarkStart w:id="97" w:name="OLE_LINK19"/>
      <w:r>
        <w:rPr>
          <w:rFonts w:hint="eastAsia"/>
        </w:rPr>
        <w:t>模型稳定性指标</w:t>
      </w:r>
      <w:bookmarkEnd w:id="97"/>
    </w:p>
    <w:p w14:paraId="525DE0B5">
      <w:pPr>
        <w:pStyle w:val="245"/>
      </w:pPr>
      <w:r>
        <w:rPr>
          <w:rFonts w:hint="eastAsia"/>
        </w:rPr>
        <w:t>同一样品连续5次扫描结果的重复性限应满足12.1的要求，不同仪器、操作者或实验室间验证结果的再现性临界差应满足12.2的要求。</w:t>
      </w:r>
    </w:p>
    <w:p w14:paraId="76825252">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测试步骤</w:t>
      </w:r>
    </w:p>
    <w:p w14:paraId="009D1A70">
      <w:pPr>
        <w:pStyle w:val="108"/>
        <w:spacing w:before="120" w:after="120"/>
        <w:ind w:left="0"/>
      </w:pPr>
      <w:bookmarkStart w:id="98" w:name="OLE_LINK12"/>
      <w:r>
        <w:rPr>
          <w:rFonts w:hint="eastAsia"/>
        </w:rPr>
        <w:t>样品制备</w:t>
      </w:r>
    </w:p>
    <w:p w14:paraId="260BFDE6">
      <w:pPr>
        <w:spacing w:line="240" w:lineRule="auto"/>
        <w:ind w:firstLine="420" w:firstLineChars="200"/>
        <w:rPr>
          <w:rFonts w:ascii="宋体" w:hAnsi="Times New Roman"/>
          <w:kern w:val="0"/>
          <w:szCs w:val="20"/>
        </w:rPr>
      </w:pPr>
      <w:r>
        <w:rPr>
          <w:rFonts w:hint="eastAsia" w:ascii="宋体" w:hAnsi="Times New Roman"/>
          <w:kern w:val="0"/>
          <w:szCs w:val="20"/>
        </w:rPr>
        <w:t>按照</w:t>
      </w:r>
      <w:r>
        <w:rPr>
          <w:rFonts w:ascii="Times New Roman" w:hAnsi="Times New Roman"/>
          <w:kern w:val="0"/>
          <w:szCs w:val="20"/>
        </w:rPr>
        <w:t>GB/T 474</w:t>
      </w:r>
      <w:r>
        <w:rPr>
          <w:rFonts w:hint="eastAsia" w:ascii="宋体" w:hAnsi="Times New Roman"/>
          <w:kern w:val="0"/>
          <w:szCs w:val="20"/>
        </w:rPr>
        <w:t>方法制备煤样，将样品研磨至粒径</w:t>
      </w:r>
      <w:r>
        <w:rPr>
          <w:rFonts w:ascii="Times New Roman" w:hAnsi="Times New Roman"/>
          <w:kern w:val="0"/>
          <w:szCs w:val="20"/>
        </w:rPr>
        <w:t>-0.2 mm</w:t>
      </w:r>
      <w:r>
        <w:rPr>
          <w:rFonts w:hint="eastAsia" w:ascii="宋体" w:hAnsi="Times New Roman"/>
          <w:kern w:val="0"/>
          <w:szCs w:val="20"/>
        </w:rPr>
        <w:t>具有代表性且均匀的煤样。</w:t>
      </w:r>
    </w:p>
    <w:bookmarkEnd w:id="98"/>
    <w:p w14:paraId="351837C6">
      <w:pPr>
        <w:spacing w:line="240" w:lineRule="auto"/>
        <w:ind w:firstLine="420" w:firstLineChars="200"/>
        <w:rPr>
          <w:rFonts w:ascii="宋体" w:hAnsi="Times New Roman"/>
          <w:kern w:val="0"/>
          <w:szCs w:val="20"/>
        </w:rPr>
      </w:pPr>
      <w:r>
        <w:rPr>
          <w:rFonts w:hint="eastAsia" w:ascii="宋体" w:hAnsi="Times New Roman"/>
          <w:kern w:val="0"/>
          <w:szCs w:val="20"/>
        </w:rPr>
        <w:t>采用标准化的制备流程确保待测试样的制备与验证样品的制备保持一致。</w:t>
      </w:r>
    </w:p>
    <w:p w14:paraId="7D207663">
      <w:pPr>
        <w:spacing w:line="240" w:lineRule="auto"/>
        <w:ind w:firstLine="420" w:firstLineChars="200"/>
        <w:rPr>
          <w:rFonts w:ascii="宋体" w:hAnsi="Times New Roman"/>
          <w:kern w:val="0"/>
          <w:szCs w:val="20"/>
        </w:rPr>
      </w:pPr>
      <w:r>
        <w:rPr>
          <w:rFonts w:hint="eastAsia" w:ascii="宋体" w:hAnsi="Times New Roman"/>
          <w:kern w:val="0"/>
          <w:szCs w:val="20"/>
        </w:rPr>
        <w:t>样品制备后应尽快检测，防止性质变化影响光谱真实性。</w:t>
      </w:r>
    </w:p>
    <w:p w14:paraId="616AB926">
      <w:pPr>
        <w:pStyle w:val="108"/>
        <w:spacing w:before="120" w:after="120"/>
        <w:ind w:left="0"/>
      </w:pPr>
      <w:r>
        <w:rPr>
          <w:rFonts w:hint="eastAsia"/>
        </w:rPr>
        <w:t>光谱采集</w:t>
      </w:r>
      <w:bookmarkStart w:id="99" w:name="OLE_LINK34"/>
    </w:p>
    <w:p w14:paraId="564DCEBB">
      <w:pPr>
        <w:pStyle w:val="245"/>
      </w:pPr>
      <w:r>
        <w:rPr>
          <w:rFonts w:hint="eastAsia"/>
        </w:rPr>
        <w:t>依据仪器说明书启动近红外光谱仪，预热至稳定状态（建议≥30 min）,完成自检并验证基线平直度。</w:t>
      </w:r>
    </w:p>
    <w:p w14:paraId="0200B34E">
      <w:pPr>
        <w:pStyle w:val="245"/>
      </w:pPr>
      <w:r>
        <w:rPr>
          <w:rFonts w:hint="eastAsia"/>
        </w:rPr>
        <w:t>在无样品条件下，使用标准背景板采集背景光谱，频度与样品检测一致，确保环境光及仪器噪声校正。</w:t>
      </w:r>
    </w:p>
    <w:p w14:paraId="6FEB62DE">
      <w:pPr>
        <w:pStyle w:val="245"/>
      </w:pPr>
      <w:r>
        <w:rPr>
          <w:rFonts w:hint="eastAsia"/>
        </w:rPr>
        <w:t>将样品均匀铺展于样品盘中（厚度：1.5±0.2cm），避免颗粒分层或堆积。每个样品连续扫描5次，单样品5次扫描的吸光度绝对差值</w:t>
      </w:r>
      <w:bookmarkStart w:id="100" w:name="OLE_LINK11"/>
      <w:r>
        <w:t>≤</w:t>
      </w:r>
      <w:bookmarkEnd w:id="100"/>
      <w:r>
        <w:rPr>
          <w:rFonts w:hint="eastAsia"/>
        </w:rPr>
        <w:t>0.0004 AU，超限数据需剔除并补测至达标，取有效扫描结果的算术平均值作为最终光谱数据。</w:t>
      </w:r>
    </w:p>
    <w:bookmarkEnd w:id="99"/>
    <w:p w14:paraId="343CCCF2">
      <w:pPr>
        <w:pStyle w:val="245"/>
      </w:pPr>
      <w:r>
        <w:rPr>
          <w:rFonts w:hint="eastAsia"/>
        </w:rPr>
        <w:t>检测期间实验室温度应控制在23±2</w:t>
      </w:r>
      <m:oMath>
        <m:r>
          <m:rPr>
            <m:sty m:val="p"/>
          </m:rPr>
          <w:rPr>
            <w:rFonts w:ascii="Cambria Math" w:hAnsi="Cambria Math"/>
          </w:rPr>
          <m:t>℃</m:t>
        </m:r>
      </m:oMath>
      <w:r>
        <w:rPr>
          <w:rFonts w:hint="eastAsia"/>
        </w:rPr>
        <w:t>，湿度</w:t>
      </w:r>
      <w:r>
        <w:t>≤</w:t>
      </w:r>
      <w:r>
        <w:rPr>
          <w:rFonts w:hint="eastAsia"/>
        </w:rPr>
        <w:t>40%，避免日光直射及振动干扰。</w:t>
      </w:r>
    </w:p>
    <w:p w14:paraId="1B8F38DB">
      <w:pPr>
        <w:pStyle w:val="108"/>
        <w:spacing w:before="120" w:after="120"/>
        <w:ind w:left="0"/>
      </w:pPr>
      <w:r>
        <w:rPr>
          <w:rFonts w:hint="eastAsia"/>
        </w:rPr>
        <w:t>结果评估</w:t>
      </w:r>
    </w:p>
    <w:p w14:paraId="6084F456">
      <w:pPr>
        <w:pStyle w:val="59"/>
        <w:ind w:firstLine="420"/>
      </w:pPr>
      <w:r>
        <w:rPr>
          <w:rFonts w:hint="eastAsia"/>
        </w:rPr>
        <w:t>试样测定结果需在所使用的校正模型范围内方为有效。</w:t>
      </w:r>
    </w:p>
    <w:p w14:paraId="679E6BB8">
      <w:pPr>
        <w:pStyle w:val="59"/>
        <w:ind w:firstLine="420"/>
      </w:pPr>
      <w:r>
        <w:rPr>
          <w:rFonts w:hint="eastAsia"/>
        </w:rPr>
        <w:t>若试样存在光谱异常，则近红外光谱测定结果不可采纳。</w:t>
      </w:r>
    </w:p>
    <w:p w14:paraId="439761F0">
      <w:pPr>
        <w:pStyle w:val="245"/>
      </w:pPr>
      <w:r>
        <w:rPr>
          <w:rFonts w:hint="eastAsia"/>
        </w:rPr>
        <w:t>若对同一样品有多次测量，且满足重复性限要求（见12.1）,则计算其算术平均值。</w:t>
      </w:r>
    </w:p>
    <w:p w14:paraId="219503D7">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仪器稳定性检查</w:t>
      </w:r>
    </w:p>
    <w:p w14:paraId="6CC105CD">
      <w:pPr>
        <w:pStyle w:val="108"/>
        <w:spacing w:before="120" w:after="120"/>
        <w:ind w:left="0"/>
      </w:pPr>
      <w:r>
        <w:rPr>
          <w:rFonts w:hint="eastAsia"/>
        </w:rPr>
        <w:t>用仪器质控样品检查仪器稳定性</w:t>
      </w:r>
    </w:p>
    <w:p w14:paraId="44087A3D">
      <w:pPr>
        <w:pStyle w:val="59"/>
        <w:bidi w:val="0"/>
      </w:pPr>
      <w:r>
        <w:rPr>
          <w:rFonts w:hint="eastAsia"/>
        </w:rPr>
        <w:t>为确保仪器硬件的稳定性及预防仪器故障，在待测试样测定时要对仪器质控样品进行检测，且每天至少进行一次仪器质控样品的检测。质控样品的制备需与待测样品的制备保持一致，并且以能够使其存储效期最大化的方式进行存储。仪器质控样品需能够保持长时间的稳定，其稳定性要根据实际情况进行检测。仪器质控样品需与待测试样同时进行近红外分析，以保障不间断的质量控制。</w:t>
      </w:r>
    </w:p>
    <w:p w14:paraId="14465E3D">
      <w:pPr>
        <w:pStyle w:val="59"/>
        <w:bidi w:val="0"/>
      </w:pPr>
      <w:bookmarkStart w:id="101" w:name="_Hlk195808168"/>
      <w:r>
        <w:rPr>
          <w:rFonts w:hint="eastAsia"/>
        </w:rPr>
        <w:t>对质控结果的波动进行记录并绘制质控图，同时，对有显著性变化趋势的质控图进行研究。</w:t>
      </w:r>
    </w:p>
    <w:bookmarkEnd w:id="101"/>
    <w:p w14:paraId="6A9A0919">
      <w:pPr>
        <w:pStyle w:val="108"/>
        <w:spacing w:before="120" w:after="120"/>
        <w:ind w:left="0"/>
      </w:pPr>
      <w:bookmarkStart w:id="102" w:name="OLE_LINK27"/>
      <w:r>
        <w:rPr>
          <w:rFonts w:hint="eastAsia"/>
        </w:rPr>
        <w:t>仪器诊断</w:t>
      </w:r>
    </w:p>
    <w:bookmarkEnd w:id="102"/>
    <w:p w14:paraId="325BF41A">
      <w:pPr>
        <w:pStyle w:val="59"/>
        <w:bidi w:val="0"/>
      </w:pPr>
      <w:r>
        <w:rPr>
          <w:rFonts w:hint="eastAsia"/>
        </w:rPr>
        <w:t>对扫描型光谱仪，需至少每周检查一次其波长/波数的准确度和精密度，如果仪器商推荐，检查频度还需更高。并且，检查结果要与相应技术规格及要求进行对比。</w:t>
      </w:r>
    </w:p>
    <w:p w14:paraId="0CB05221">
      <w:pPr>
        <w:pStyle w:val="59"/>
        <w:bidi w:val="0"/>
      </w:pPr>
      <w:r>
        <w:rPr>
          <w:rFonts w:hint="eastAsia"/>
        </w:rPr>
        <w:t>需至少每周或按照厂商推荐的时间间隔对仪器的噪音进行检查。</w:t>
      </w:r>
    </w:p>
    <w:p w14:paraId="634B76CE">
      <w:pPr>
        <w:pStyle w:val="108"/>
        <w:spacing w:before="120" w:after="120"/>
        <w:ind w:left="0"/>
      </w:pPr>
      <w:r>
        <w:rPr>
          <w:rFonts w:hint="eastAsia"/>
        </w:rPr>
        <w:t>联网仪器</w:t>
      </w:r>
    </w:p>
    <w:p w14:paraId="6119AD3A">
      <w:pPr>
        <w:pStyle w:val="59"/>
        <w:bidi w:val="0"/>
      </w:pPr>
      <w:r>
        <w:rPr>
          <w:rFonts w:hint="eastAsia"/>
        </w:rPr>
        <w:t>如果几台仪器联网使用，需根据厂商的推荐对仪器之间的标准化给予特别关注。</w:t>
      </w:r>
    </w:p>
    <w:p w14:paraId="31177598">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校正模型性能监控</w:t>
      </w:r>
    </w:p>
    <w:p w14:paraId="6C0714CB">
      <w:pPr>
        <w:pStyle w:val="108"/>
        <w:spacing w:before="120" w:after="120"/>
        <w:ind w:left="0"/>
      </w:pPr>
      <w:r>
        <w:rPr>
          <w:rFonts w:hint="eastAsia"/>
        </w:rPr>
        <w:t>总则</w:t>
      </w:r>
    </w:p>
    <w:p w14:paraId="66B5A202">
      <w:pPr>
        <w:pStyle w:val="59"/>
        <w:bidi w:val="0"/>
      </w:pPr>
      <w:bookmarkStart w:id="103" w:name="OLE_LINK90"/>
      <w:r>
        <w:rPr>
          <w:rFonts w:hint="eastAsia"/>
        </w:rPr>
        <w:t>分析样品前需对校正模型的适用性进行检查。可采用在校正和验证过程中所使用的异常值剔除方法，如马氏距离和光谱残差等。这在大多数仪器中可被自动执行。</w:t>
      </w:r>
    </w:p>
    <w:p w14:paraId="61152714">
      <w:pPr>
        <w:pStyle w:val="59"/>
        <w:bidi w:val="0"/>
      </w:pPr>
      <w:r>
        <w:rPr>
          <w:rFonts w:hint="eastAsia"/>
        </w:rPr>
        <w:t>如果样品没有通过适用性检验，则不能用现有的校正模型进行检测，需对校正模型进行修正或升级。异常样品的检测可用于选择哪些样品需用参考方法赋值，然后用于升级校正模型。</w:t>
      </w:r>
    </w:p>
    <w:p w14:paraId="038909E1">
      <w:pPr>
        <w:pStyle w:val="59"/>
        <w:bidi w:val="0"/>
      </w:pPr>
      <w:r>
        <w:rPr>
          <w:rFonts w:hint="eastAsia"/>
        </w:rPr>
        <w:t>如果校正模型能够适用于被分析样品，则该样品光谱可采用该校正模型进行测定。</w:t>
      </w:r>
    </w:p>
    <w:p w14:paraId="3B4CA786">
      <w:pPr>
        <w:pStyle w:val="59"/>
        <w:bidi w:val="0"/>
      </w:pPr>
      <w:r>
        <w:rPr>
          <w:rFonts w:hint="eastAsia"/>
        </w:rPr>
        <w:t>校正模型性能需持续选用有参考方法赋值的监控样品进行验证，以确保校正处于稳定的最优状态并满足分析准确性要求。对近红外校正模型性能的验证频度，需足以确保该方法运行的稳定性受控于参考方法的系统偏差和随机误差。该频度尤其依赖于每天分析的样品数量和样品集的波动。</w:t>
      </w:r>
    </w:p>
    <w:p w14:paraId="06C38EA8">
      <w:pPr>
        <w:pStyle w:val="59"/>
        <w:bidi w:val="0"/>
      </w:pPr>
      <w:r>
        <w:rPr>
          <w:rFonts w:hint="eastAsia"/>
        </w:rPr>
        <w:t>校正模型性能监控样品数量满足统计分析要求，需要至少20个样品（以满足变量的正态分布）。验证样品的分析结果可用于校正模型运行性能的首次监控，接下来每周5～10个样品即可满足对校正模型性能的监控。如果使用较少的监控样品，一旦有结果超出了控制限，则很难做出正确判断。</w:t>
      </w:r>
    </w:p>
    <w:bookmarkEnd w:id="103"/>
    <w:p w14:paraId="174487BE">
      <w:pPr>
        <w:pStyle w:val="108"/>
        <w:spacing w:before="120" w:after="120"/>
        <w:ind w:left="0"/>
      </w:pPr>
      <w:bookmarkStart w:id="104" w:name="_Hlk194000153"/>
      <w:r>
        <w:rPr>
          <w:rFonts w:hint="eastAsia"/>
        </w:rPr>
        <w:t>参考值和近红外测定值差异的控制图</w:t>
      </w:r>
    </w:p>
    <w:bookmarkEnd w:id="104"/>
    <w:p w14:paraId="3B184D27">
      <w:pPr>
        <w:pStyle w:val="59"/>
        <w:bidi w:val="0"/>
      </w:pPr>
      <w:bookmarkStart w:id="105" w:name="OLE_LINK89"/>
      <w:r>
        <w:rPr>
          <w:rFonts w:hint="eastAsia"/>
        </w:rPr>
        <w:t>结果宜采用控制图进行评估，控制图以分析样品数作为横坐标，参考值和近红外测定值间的差值作为纵坐标；</w:t>
      </w:r>
      <w:bookmarkStart w:id="106" w:name="OLE_LINK35"/>
      <m:oMath>
        <m:r>
          <m:rPr>
            <m:sty m:val="p"/>
          </m:rPr>
          <w:rPr>
            <w:rFonts w:ascii="Cambria Math" w:hAnsi="Cambria Math"/>
          </w:rPr>
          <m:t>±2</m:t>
        </m:r>
        <m:sSub>
          <m:sSubPr>
            <m:ctrlPr>
              <w:rPr>
                <w:rFonts w:ascii="Cambria Math" w:hAnsi="Cambria Math"/>
              </w:rPr>
            </m:ctrlPr>
          </m:sSubPr>
          <m:e>
            <m:r>
              <m:rPr>
                <m:sty m:val="p"/>
              </m:rPr>
              <w:rPr>
                <w:rFonts w:ascii="Cambria Math" w:hAnsi="Cambria Math"/>
              </w:rPr>
              <m:t>s</m:t>
            </m:r>
            <m:ctrlPr>
              <w:rPr>
                <w:rFonts w:ascii="Cambria Math" w:hAnsi="Cambria Math"/>
              </w:rPr>
            </m:ctrlPr>
          </m:e>
          <m:sub>
            <m:r>
              <m:rPr>
                <m:sty m:val="p"/>
              </m:rPr>
              <w:rPr>
                <w:rFonts w:ascii="Cambria Math" w:hAnsi="Cambria Math"/>
              </w:rPr>
              <m:t>SEP</m:t>
            </m:r>
            <m:ctrlPr>
              <w:rPr>
                <w:rFonts w:ascii="Cambria Math" w:hAnsi="Cambria Math"/>
              </w:rPr>
            </m:ctrlPr>
          </m:sub>
        </m:sSub>
      </m:oMath>
      <w:bookmarkEnd w:id="106"/>
      <w:r>
        <w:rPr>
          <w:rFonts w:hint="eastAsia"/>
        </w:rPr>
        <w:t>(95%的置信概率)和</w:t>
      </w:r>
      <m:oMath>
        <m:r>
          <m:rPr>
            <m:sty m:val="p"/>
          </m:rPr>
          <w:rPr>
            <w:rFonts w:ascii="Cambria Math" w:hAnsi="Cambria Math"/>
          </w:rPr>
          <m:t>±3</m:t>
        </m:r>
        <w:bookmarkStart w:id="107" w:name="OLE_LINK45"/>
        <m:sSub>
          <m:sSubPr>
            <m:ctrlPr>
              <w:rPr>
                <w:rFonts w:ascii="Cambria Math" w:hAnsi="Cambria Math"/>
              </w:rPr>
            </m:ctrlPr>
          </m:sSubPr>
          <w:bookmarkStart w:id="108" w:name="OLE_LINK36"/>
          <m:e>
            <m:r>
              <m:rPr>
                <m:sty m:val="p"/>
              </m:rPr>
              <w:rPr>
                <w:rFonts w:ascii="Cambria Math" w:hAnsi="Cambria Math"/>
              </w:rPr>
              <m:t>s</m:t>
            </m:r>
            <m:ctrlPr>
              <w:rPr>
                <w:rFonts w:ascii="Cambria Math" w:hAnsi="Cambria Math"/>
              </w:rPr>
            </m:ctrlPr>
          </m:e>
          <m:sub>
            <m:r>
              <m:rPr>
                <m:sty m:val="p"/>
              </m:rPr>
              <w:rPr>
                <w:rFonts w:ascii="Cambria Math" w:hAnsi="Cambria Math"/>
              </w:rPr>
              <m:t>SEP</m:t>
            </m:r>
            <w:bookmarkEnd w:id="108"/>
            <m:ctrlPr>
              <w:rPr>
                <w:rFonts w:ascii="Cambria Math" w:hAnsi="Cambria Math"/>
              </w:rPr>
            </m:ctrlPr>
          </m:sub>
        </m:sSub>
      </m:oMath>
      <w:bookmarkEnd w:id="107"/>
      <w:r>
        <w:rPr>
          <w:rFonts w:hint="eastAsia"/>
        </w:rPr>
        <w:t>（99.8%的置信概率）可用作警戒限和行动限，其中</w:t>
      </w:r>
      <m:oMath>
        <m:sSub>
          <m:sSubPr>
            <m:ctrlPr>
              <w:rPr>
                <w:rFonts w:ascii="Cambria Math" w:hAnsi="Cambria Math"/>
              </w:rPr>
            </m:ctrlPr>
          </m:sSubPr>
          <m:e>
            <w:bookmarkStart w:id="109" w:name="OLE_LINK37"/>
            <m:r>
              <m:rPr>
                <m:sty m:val="p"/>
              </m:rPr>
              <w:rPr>
                <w:rFonts w:ascii="Cambria Math" w:hAnsi="Cambria Math"/>
              </w:rPr>
              <m:t>s</m:t>
            </m:r>
            <m:ctrlPr>
              <w:rPr>
                <w:rFonts w:ascii="Cambria Math" w:hAnsi="Cambria Math"/>
              </w:rPr>
            </m:ctrlPr>
          </m:e>
          <m:sub>
            <m:r>
              <m:rPr>
                <m:sty m:val="p"/>
              </m:rPr>
              <w:rPr>
                <w:rFonts w:ascii="Cambria Math" w:hAnsi="Cambria Math"/>
              </w:rPr>
              <m:t>SEP</m:t>
            </m:r>
            <w:bookmarkEnd w:id="109"/>
            <m:ctrlPr>
              <w:rPr>
                <w:rFonts w:ascii="Cambria Math" w:hAnsi="Cambria Math"/>
              </w:rPr>
            </m:ctrlPr>
          </m:sub>
        </m:sSub>
      </m:oMath>
      <w:r>
        <w:rPr>
          <w:rFonts w:hint="eastAsia"/>
        </w:rPr>
        <w:t>采用独立于校正样品的验证样品获得。</w:t>
      </w:r>
    </w:p>
    <w:p w14:paraId="2E54B5CC">
      <w:pPr>
        <w:pStyle w:val="59"/>
        <w:bidi w:val="0"/>
      </w:pPr>
      <w:r>
        <w:rPr>
          <w:rFonts w:hint="eastAsia"/>
        </w:rPr>
        <w:t>当校正和参考值的测定均按照规定标准执行时，20个数据点中只有1个在警戒限之外，1000个数据点中只有2个在行动限之外。</w:t>
      </w:r>
    </w:p>
    <w:p w14:paraId="02CF2AC8">
      <w:pPr>
        <w:pStyle w:val="59"/>
        <w:bidi w:val="0"/>
      </w:pPr>
      <w:r>
        <w:rPr>
          <w:rFonts w:hint="eastAsia"/>
        </w:rPr>
        <w:t>根据控制图检查系统偏差、偏差的正负和极端异常值。可使用休哈特控制图（Shewart）的一般规则对结果进行评估。注意过多规则同时使用时可能导致虚假报警。</w:t>
      </w:r>
    </w:p>
    <w:p w14:paraId="60A8DBB3">
      <w:pPr>
        <w:pStyle w:val="59"/>
        <w:bidi w:val="0"/>
      </w:pPr>
      <w:r>
        <w:rPr>
          <w:rFonts w:hint="eastAsia"/>
        </w:rPr>
        <w:t>可组合采用以下规则进行检查：</w:t>
      </w:r>
    </w:p>
    <w:p w14:paraId="49013FD7">
      <w:pPr>
        <w:pStyle w:val="59"/>
        <w:bidi w:val="0"/>
      </w:pPr>
      <w:bookmarkStart w:id="110" w:name="OLE_LINK64"/>
      <w:r>
        <w:rPr>
          <w:rFonts w:hint="eastAsia"/>
        </w:rPr>
        <w:t>a）</w:t>
      </w:r>
      <w:bookmarkEnd w:id="110"/>
      <w:r>
        <w:rPr>
          <w:rFonts w:hint="eastAsia"/>
        </w:rPr>
        <w:t>1个点超过了行动限；</w:t>
      </w:r>
    </w:p>
    <w:p w14:paraId="4FFAF578">
      <w:pPr>
        <w:pStyle w:val="59"/>
        <w:bidi w:val="0"/>
      </w:pPr>
      <w:r>
        <w:rPr>
          <w:rFonts w:hint="eastAsia"/>
        </w:rPr>
        <w:t>b）连续3个点中有2个在警戒限之外；</w:t>
      </w:r>
    </w:p>
    <w:p w14:paraId="69A7D8AE">
      <w:pPr>
        <w:pStyle w:val="59"/>
        <w:bidi w:val="0"/>
      </w:pPr>
      <w:r>
        <w:rPr>
          <w:rFonts w:hint="eastAsia"/>
        </w:rPr>
        <w:t>c）连续9个点在0线的同一侧。</w:t>
      </w:r>
    </w:p>
    <w:p w14:paraId="67306E1D">
      <w:pPr>
        <w:pStyle w:val="59"/>
        <w:bidi w:val="0"/>
      </w:pPr>
      <w:r>
        <w:rPr>
          <w:rFonts w:hint="eastAsia"/>
        </w:rPr>
        <w:t>展现其他特征（如参考值和近红外测定值间差值的平均值）的控制图和其他评判规则也可以使用，以强化对结果的评估。</w:t>
      </w:r>
    </w:p>
    <w:p w14:paraId="47FD45BF">
      <w:pPr>
        <w:pStyle w:val="59"/>
        <w:bidi w:val="0"/>
      </w:pPr>
      <w:r>
        <w:rPr>
          <w:rFonts w:hint="eastAsia"/>
        </w:rPr>
        <w:t>对结果评估时，要注意</w:t>
      </w:r>
      <m:oMath>
        <m:sSub>
          <m:sSubPr>
            <m:ctrlPr>
              <w:rPr>
                <w:rFonts w:ascii="Cambria Math" w:hAnsi="Cambria Math"/>
              </w:rPr>
            </m:ctrlPr>
          </m:sSubPr>
          <w:bookmarkStart w:id="111" w:name="OLE_LINK38"/>
          <m:e>
            <m:r>
              <m:rPr>
                <m:sty m:val="p"/>
              </m:rPr>
              <w:rPr>
                <w:rFonts w:ascii="Cambria Math" w:hAnsi="Cambria Math"/>
              </w:rPr>
              <m:t>s</m:t>
            </m:r>
            <m:ctrlPr>
              <w:rPr>
                <w:rFonts w:ascii="Cambria Math" w:hAnsi="Cambria Math"/>
              </w:rPr>
            </m:ctrlPr>
          </m:e>
          <m:sub>
            <m:r>
              <m:rPr>
                <m:sty m:val="p"/>
              </m:rPr>
              <w:rPr>
                <w:rFonts w:ascii="Cambria Math" w:hAnsi="Cambria Math"/>
              </w:rPr>
              <m:t>SEP</m:t>
            </m:r>
            <w:bookmarkEnd w:id="111"/>
            <m:ctrlPr>
              <w:rPr>
                <w:rFonts w:ascii="Cambria Math" w:hAnsi="Cambria Math"/>
              </w:rPr>
            </m:ctrlPr>
          </m:sub>
        </m:sSub>
      </m:oMath>
      <w:r>
        <w:rPr>
          <w:rFonts w:hint="eastAsia"/>
        </w:rPr>
        <w:t>和所测得的近红外测定值与参考值的差异也包含参考值的不精密度。如果参考值的不精密度小于</w:t>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m:sty m:val="p"/>
              </m:rPr>
              <w:rPr>
                <w:rFonts w:ascii="Cambria Math" w:hAnsi="Cambria Math"/>
              </w:rPr>
              <m:t>SEP</m:t>
            </m:r>
            <m:ctrlPr>
              <w:rPr>
                <w:rFonts w:ascii="Cambria Math" w:hAnsi="Cambria Math"/>
              </w:rPr>
            </m:ctrlPr>
          </m:sub>
        </m:sSub>
      </m:oMath>
      <w:r>
        <w:rPr>
          <w:rFonts w:hint="eastAsia"/>
        </w:rPr>
        <w:t>的1/3，则该影响可忽略不计。</w:t>
      </w:r>
    </w:p>
    <w:p w14:paraId="5A6989DA">
      <w:pPr>
        <w:pStyle w:val="59"/>
        <w:bidi w:val="0"/>
      </w:pPr>
      <w:r>
        <w:rPr>
          <w:rFonts w:hint="eastAsia"/>
        </w:rPr>
        <w:t>为减少虚假报警的风险，宜以不同的顺序分别进行监控样品的近红外光谱分析和参考值分析，以避免日间系统偏差的影响。</w:t>
      </w:r>
    </w:p>
    <w:p w14:paraId="1DDA4564">
      <w:pPr>
        <w:pStyle w:val="59"/>
        <w:bidi w:val="0"/>
      </w:pPr>
      <w:r>
        <w:rPr>
          <w:rFonts w:hint="eastAsia"/>
        </w:rPr>
        <w:t>如果样品经常超出警戒限，并且控制图显示都是随机误差（无趋势性或系统偏差），可能是由于在确定行动限和警戒限时使用了太过理想的</w:t>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m:sty m:val="p"/>
              </m:rPr>
              <w:rPr>
                <w:rFonts w:ascii="Cambria Math" w:hAnsi="Cambria Math"/>
              </w:rPr>
              <m:t>SEP</m:t>
            </m:r>
            <m:ctrlPr>
              <w:rPr>
                <w:rFonts w:ascii="Cambria Math" w:hAnsi="Cambria Math"/>
              </w:rPr>
            </m:ctrlPr>
          </m:sub>
        </m:sSub>
      </m:oMath>
      <w:r>
        <w:rPr>
          <w:rFonts w:hint="eastAsia"/>
        </w:rPr>
        <w:t>。此时，通过频繁调整校正以勉强将结果限制于控制限范围内的做法不可取，需对</w:t>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m:sty m:val="p"/>
              </m:rPr>
              <w:rPr>
                <w:rFonts w:ascii="Cambria Math" w:hAnsi="Cambria Math"/>
              </w:rPr>
              <m:t>SEP</m:t>
            </m:r>
            <m:ctrlPr>
              <w:rPr>
                <w:rFonts w:ascii="Cambria Math" w:hAnsi="Cambria Math"/>
              </w:rPr>
            </m:ctrlPr>
          </m:sub>
        </m:sSub>
      </m:oMath>
      <w:r>
        <w:rPr>
          <w:rFonts w:hint="eastAsia"/>
        </w:rPr>
        <w:t>进行重新评估。</w:t>
      </w:r>
    </w:p>
    <w:p w14:paraId="59A4D4F5">
      <w:pPr>
        <w:pStyle w:val="59"/>
        <w:bidi w:val="0"/>
      </w:pPr>
      <w:r>
        <w:rPr>
          <w:rFonts w:hint="eastAsia"/>
        </w:rPr>
        <w:t>稳定运行一段时间后的校正模型可能会出现失控的情况，此时需对校正模型进行升级。升级之前，首先要评估该失控发生的原因是否是参考值含量范围的变化、测定条件的变化（如更换新的操作者）、仪器出现漂移或发生故障等。有些情况下，只通过调整校正模型的常数项就能满足分析要求。其他情况下，可能需要重新运行校正程序。重新校正时，校正样品要包含对校正模型性能进行监控的监控样品，也可专门选择样品来进行重新校正。</w:t>
      </w:r>
    </w:p>
    <w:p w14:paraId="238AADB9">
      <w:pPr>
        <w:pStyle w:val="59"/>
        <w:bidi w:val="0"/>
      </w:pPr>
      <w:r>
        <w:rPr>
          <w:rFonts w:hint="eastAsia"/>
        </w:rPr>
        <w:t>在参考值的分析方法满足精密度要求，且近红外的检测条件与仪器性能保持稳定的条件下，偏差出现了显著性差异或</w:t>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m:sty m:val="p"/>
              </m:rPr>
              <w:rPr>
                <w:rFonts w:ascii="Cambria Math" w:hAnsi="Cambria Math"/>
              </w:rPr>
              <m:t>SEP</m:t>
            </m:r>
            <m:ctrlPr>
              <w:rPr>
                <w:rFonts w:ascii="Cambria Math" w:hAnsi="Cambria Math"/>
              </w:rPr>
            </m:ctrlPr>
          </m:sub>
        </m:sSub>
      </m:oMath>
      <w:r>
        <w:rPr>
          <w:rFonts w:hint="eastAsia"/>
        </w:rPr>
        <w:t>值升高的情况，则可能是由于样品的化学、生物学或物理性质与校正样品相比发生了变化。</w:t>
      </w:r>
    </w:p>
    <w:p w14:paraId="1A374935">
      <w:pPr>
        <w:pStyle w:val="59"/>
        <w:bidi w:val="0"/>
      </w:pPr>
      <w:r>
        <w:rPr>
          <w:rFonts w:hint="eastAsia"/>
        </w:rPr>
        <w:t>其他控制图（如z比分数）也可使用。</w:t>
      </w:r>
    </w:p>
    <w:bookmarkEnd w:id="105"/>
    <w:p w14:paraId="5600362B">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112" w:name="OLE_LINK48"/>
      <w:r>
        <w:rPr>
          <w:rFonts w:hint="eastAsia" w:ascii="黑体" w:hAnsi="Times New Roman" w:eastAsia="黑体"/>
          <w:kern w:val="0"/>
          <w:szCs w:val="20"/>
        </w:rPr>
        <w:t>精密度</w:t>
      </w:r>
    </w:p>
    <w:bookmarkEnd w:id="112"/>
    <w:p w14:paraId="612AE723">
      <w:pPr>
        <w:pStyle w:val="108"/>
        <w:spacing w:before="120" w:after="120"/>
        <w:ind w:left="0"/>
      </w:pPr>
      <w:r>
        <w:rPr>
          <w:rFonts w:hint="eastAsia"/>
        </w:rPr>
        <w:t>重复性限</w:t>
      </w:r>
    </w:p>
    <w:p w14:paraId="45F2098C">
      <w:pPr>
        <w:pStyle w:val="59"/>
        <w:bidi w:val="0"/>
      </w:pPr>
      <w:bookmarkStart w:id="113" w:name="OLE_LINK49"/>
      <w:bookmarkStart w:id="114" w:name="OLE_LINK50"/>
      <w:bookmarkStart w:id="115" w:name="OLE_LINK6"/>
      <w:r>
        <w:rPr>
          <w:rFonts w:hint="eastAsia"/>
        </w:rPr>
        <w:t>本文件规定的近红外光谱所测指标的重复性限大小与参考方法一致。</w:t>
      </w:r>
      <w:bookmarkEnd w:id="113"/>
    </w:p>
    <w:bookmarkEnd w:id="114"/>
    <w:bookmarkEnd w:id="115"/>
    <w:p w14:paraId="716525E9">
      <w:pPr>
        <w:pStyle w:val="108"/>
        <w:spacing w:before="120" w:after="120"/>
        <w:ind w:left="0"/>
      </w:pPr>
      <w:bookmarkStart w:id="116" w:name="OLE_LINK5"/>
      <w:r>
        <w:rPr>
          <w:rFonts w:hint="eastAsia"/>
        </w:rPr>
        <w:t>再现性</w:t>
      </w:r>
      <w:bookmarkEnd w:id="116"/>
      <w:r>
        <w:rPr>
          <w:rFonts w:hint="eastAsia"/>
        </w:rPr>
        <w:t>临界差</w:t>
      </w:r>
    </w:p>
    <w:p w14:paraId="506C449E">
      <w:pPr>
        <w:pStyle w:val="59"/>
        <w:bidi w:val="0"/>
      </w:pPr>
      <w:bookmarkStart w:id="117" w:name="_Hlk195806406"/>
      <w:r>
        <w:rPr>
          <w:rFonts w:hint="eastAsia"/>
        </w:rPr>
        <w:t>本文件规定的近红外光谱法所测煤质指标的再现性临界差大小与参考方法一致。</w:t>
      </w:r>
    </w:p>
    <w:bookmarkEnd w:id="117"/>
    <w:p w14:paraId="64914DAB">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试验报告</w:t>
      </w:r>
    </w:p>
    <w:p w14:paraId="355D8505">
      <w:pPr>
        <w:pStyle w:val="59"/>
        <w:bidi w:val="0"/>
      </w:pPr>
      <w:r>
        <w:rPr>
          <w:rFonts w:hint="eastAsia"/>
        </w:rPr>
        <w:t>试验报告应包括下列信息：</w:t>
      </w:r>
    </w:p>
    <w:p w14:paraId="5FC4D9DF">
      <w:pPr>
        <w:pStyle w:val="59"/>
        <w:bidi w:val="0"/>
      </w:pPr>
      <w:r>
        <w:rPr>
          <w:rFonts w:hint="eastAsia"/>
        </w:rPr>
        <w:t>a)</w:t>
      </w:r>
      <w:r>
        <w:rPr>
          <w:rFonts w:hint="eastAsia"/>
        </w:rPr>
        <w:tab/>
      </w:r>
      <w:r>
        <w:rPr>
          <w:rFonts w:hint="eastAsia"/>
        </w:rPr>
        <w:t>实验室名称和地址；</w:t>
      </w:r>
    </w:p>
    <w:p w14:paraId="1DE71DAD">
      <w:pPr>
        <w:pStyle w:val="59"/>
        <w:bidi w:val="0"/>
      </w:pPr>
      <w:r>
        <w:rPr>
          <w:rFonts w:hint="eastAsia"/>
        </w:rPr>
        <w:t>b)</w:t>
      </w:r>
      <w:r>
        <w:rPr>
          <w:rFonts w:hint="eastAsia"/>
        </w:rPr>
        <w:tab/>
      </w:r>
      <w:r>
        <w:rPr>
          <w:rFonts w:hint="eastAsia"/>
        </w:rPr>
        <w:t>试验报告发布日期；</w:t>
      </w:r>
    </w:p>
    <w:p w14:paraId="466A2B45">
      <w:pPr>
        <w:pStyle w:val="59"/>
        <w:bidi w:val="0"/>
      </w:pPr>
      <w:r>
        <w:rPr>
          <w:rFonts w:hint="eastAsia"/>
        </w:rPr>
        <w:t>c)</w:t>
      </w:r>
      <w:r>
        <w:rPr>
          <w:rFonts w:hint="eastAsia"/>
        </w:rPr>
        <w:tab/>
      </w:r>
      <w:r>
        <w:rPr>
          <w:rFonts w:hint="eastAsia"/>
        </w:rPr>
        <w:t>本文件的编号；</w:t>
      </w:r>
    </w:p>
    <w:p w14:paraId="720AE375">
      <w:pPr>
        <w:pStyle w:val="59"/>
        <w:bidi w:val="0"/>
      </w:pPr>
      <w:r>
        <w:rPr>
          <w:rFonts w:hint="eastAsia"/>
        </w:rPr>
        <w:t>d)</w:t>
      </w:r>
      <w:r>
        <w:rPr>
          <w:rFonts w:hint="eastAsia"/>
        </w:rPr>
        <w:tab/>
      </w:r>
      <w:r>
        <w:rPr>
          <w:rFonts w:hint="eastAsia"/>
        </w:rPr>
        <w:t>试样本身必要的详细说明；</w:t>
      </w:r>
    </w:p>
    <w:p w14:paraId="26C50733">
      <w:pPr>
        <w:pStyle w:val="59"/>
        <w:bidi w:val="0"/>
      </w:pPr>
      <w:r>
        <w:rPr>
          <w:rFonts w:hint="eastAsia"/>
        </w:rPr>
        <w:t>e)</w:t>
      </w:r>
      <w:r>
        <w:rPr>
          <w:rFonts w:hint="eastAsia"/>
        </w:rPr>
        <w:tab/>
      </w:r>
      <w:r>
        <w:rPr>
          <w:rFonts w:hint="eastAsia"/>
        </w:rPr>
        <w:t>分析结果；</w:t>
      </w:r>
    </w:p>
    <w:p w14:paraId="6FB20791">
      <w:pPr>
        <w:pStyle w:val="59"/>
        <w:bidi w:val="0"/>
      </w:pPr>
      <w:r>
        <w:rPr>
          <w:rFonts w:hint="eastAsia"/>
        </w:rPr>
        <w:t>f)</w:t>
      </w:r>
      <w:r>
        <w:rPr>
          <w:rFonts w:hint="eastAsia"/>
        </w:rPr>
        <w:tab/>
      </w:r>
      <w:r>
        <w:rPr>
          <w:rFonts w:hint="eastAsia"/>
        </w:rPr>
        <w:t>测定过程中存在的任何异常特性和在本文件中没有规定的可能对试样或标准样品的分析结果产生影响的任何操作。</w:t>
      </w:r>
    </w:p>
    <w:p w14:paraId="1BD92FED">
      <w:pPr>
        <w:widowControl/>
        <w:adjustRightInd/>
        <w:spacing w:line="240" w:lineRule="auto"/>
        <w:jc w:val="left"/>
      </w:pPr>
      <w:r>
        <w:br w:type="page"/>
      </w:r>
    </w:p>
    <w:p w14:paraId="76106073">
      <w:pPr>
        <w:pStyle w:val="182"/>
        <w:numPr>
          <w:ilvl w:val="0"/>
          <w:numId w:val="0"/>
        </w:numPr>
        <w:ind w:left="737"/>
        <w:rPr>
          <w:highlight w:val="yellow"/>
        </w:rPr>
        <w:sectPr>
          <w:pgSz w:w="11906" w:h="16838"/>
          <w:pgMar w:top="1928" w:right="1134" w:bottom="1134" w:left="1134" w:header="1418" w:footer="1134" w:gutter="284"/>
          <w:pgNumType w:start="1"/>
          <w:cols w:space="425" w:num="1"/>
          <w:formProt w:val="0"/>
          <w:docGrid w:linePitch="312" w:charSpace="0"/>
        </w:sectPr>
      </w:pPr>
    </w:p>
    <w:bookmarkEnd w:id="19"/>
    <w:p w14:paraId="6D51154F">
      <w:pPr>
        <w:pStyle w:val="79"/>
        <w:spacing w:after="120"/>
        <w:ind w:left="0"/>
      </w:pPr>
      <w:bookmarkStart w:id="118" w:name="BookMark5"/>
    </w:p>
    <w:p w14:paraId="5AAB6984">
      <w:pPr>
        <w:pStyle w:val="79"/>
        <w:numPr>
          <w:ilvl w:val="0"/>
          <w:numId w:val="0"/>
        </w:numPr>
        <w:spacing w:before="0" w:after="0" w:afterLines="0"/>
      </w:pPr>
      <w:bookmarkStart w:id="119" w:name="OLE_LINK88"/>
      <w:r>
        <w:rPr>
          <w:rFonts w:hint="eastAsia"/>
        </w:rPr>
        <w:t>（资料性附录）</w:t>
      </w:r>
    </w:p>
    <w:p w14:paraId="7CFBC37E">
      <w:pPr>
        <w:pStyle w:val="243"/>
        <w:ind w:left="0" w:leftChars="0" w:right="0" w:rightChars="0"/>
        <w:rPr>
          <w:color w:val="auto"/>
        </w:rPr>
      </w:pPr>
      <w:r>
        <w:rPr>
          <w:rFonts w:hint="eastAsia"/>
          <w:color w:val="auto"/>
        </w:rPr>
        <w:t>异常值处理方法示例</w:t>
      </w:r>
    </w:p>
    <w:p w14:paraId="6187B11B">
      <w:pPr>
        <w:pStyle w:val="81"/>
        <w:spacing w:before="120" w:after="120"/>
        <w:ind w:left="-142"/>
        <w:outlineLvl w:val="9"/>
      </w:pPr>
      <w:bookmarkStart w:id="120" w:name="OLE_LINK53"/>
      <w:r>
        <w:rPr>
          <w:rFonts w:hint="eastAsia"/>
        </w:rPr>
        <w:t>样品集数据异常</w:t>
      </w:r>
    </w:p>
    <w:bookmarkEnd w:id="120"/>
    <w:p w14:paraId="2DA24E39">
      <w:pPr>
        <w:pStyle w:val="59"/>
        <w:bidi w:val="0"/>
      </w:pPr>
      <w:r>
        <w:rPr>
          <w:rFonts w:hint="eastAsia"/>
        </w:rPr>
        <w:t>对采集到的NIRS样品数据，若某条光谱数据与待测成分性质之间的关系和其他光谱数据的对应关系差异较大，会对建立的校正模型的性能产生干扰。这类异常数据可通过马氏距离与光谱残差关系图进行筛选。</w:t>
      </w:r>
    </w:p>
    <w:p w14:paraId="469FAC62">
      <w:pPr>
        <w:pStyle w:val="81"/>
        <w:numPr>
          <w:ilvl w:val="0"/>
          <w:numId w:val="0"/>
        </w:numPr>
        <w:spacing w:before="120" w:after="120"/>
        <w:ind w:left="-141"/>
        <w:outlineLvl w:val="9"/>
        <w:rPr>
          <w:b/>
          <w:bCs/>
        </w:rPr>
      </w:pPr>
      <w:r>
        <w:rPr>
          <w:rFonts w:ascii="Times New Roman"/>
        </w:rPr>
        <w:t>A.1.1</w:t>
      </w:r>
      <w:r>
        <w:rPr>
          <w:rFonts w:hint="eastAsia"/>
        </w:rPr>
        <w:t>马氏距离</w:t>
      </w:r>
      <w:r>
        <w:rPr>
          <w:rFonts w:ascii="Times New Roman"/>
        </w:rPr>
        <w:t>Mahalanobis Distance</w:t>
      </w:r>
      <w:r>
        <w:rPr>
          <w:rFonts w:hint="eastAsia" w:ascii="Times New Roman"/>
        </w:rPr>
        <w:t>（MD）</w:t>
      </w:r>
    </w:p>
    <w:p w14:paraId="76A516F9">
      <w:pPr>
        <w:pStyle w:val="245"/>
      </w:pPr>
      <w:bookmarkStart w:id="121" w:name="OLE_LINK68"/>
      <w:r>
        <w:rPr>
          <w:rFonts w:hint="eastAsia"/>
        </w:rPr>
        <w:t>马氏距离反应样品的离群性。某一样品距离样品群越远，该样品是异常点的可能性越大，按式（4）~（7）计算。</w:t>
      </w:r>
    </w:p>
    <w:p w14:paraId="366F3376">
      <w:pPr>
        <w:pStyle w:val="245"/>
      </w:pPr>
      <w:r>
        <w:rPr>
          <w:rFonts w:hint="eastAsia"/>
        </w:rPr>
        <w:t>假设</w:t>
      </w:r>
      <m:oMath>
        <m:sSub>
          <m:sSubPr>
            <m:ctrlPr>
              <w:rPr>
                <w:rFonts w:ascii="Cambria Math" w:hAnsi="Cambria Math"/>
              </w:rPr>
            </m:ctrlPr>
          </m:sSubPr>
          <m:e>
            <w:bookmarkStart w:id="122" w:name="OLE_LINK1"/>
            <m:r>
              <m:rPr/>
              <w:rPr>
                <w:rFonts w:ascii="Cambria Math" w:hAnsi="Cambria Math"/>
              </w:rPr>
              <m:t>X</m:t>
            </m:r>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w:bookmarkEnd w:id="122"/>
            <m:ctrlPr>
              <w:rPr>
                <w:rFonts w:ascii="Cambria Math" w:hAnsi="Cambria Math"/>
              </w:rPr>
            </m:ctrlPr>
          </m:sub>
        </m:sSub>
      </m:oMath>
      <w:r>
        <w:rPr>
          <w:rFonts w:hint="eastAsia"/>
        </w:rPr>
        <w:t>为光谱矩阵，</w:t>
      </w:r>
      <m:oMath>
        <m:sSub>
          <m:sSubPr>
            <m:ctrlPr>
              <w:rPr>
                <w:rFonts w:ascii="Cambria Math" w:hAnsi="Cambria Math"/>
              </w:rPr>
            </m:ctrlPr>
          </m:sSubPr>
          <w:bookmarkStart w:id="123" w:name="OLE_LINK4"/>
          <m:e>
            <m:acc>
              <m:accPr>
                <m:chr m:val="̅"/>
                <m:ctrlPr>
                  <w:rPr>
                    <w:rFonts w:ascii="Cambria Math" w:hAnsi="Cambria Math"/>
                  </w:rPr>
                </m:ctrlPr>
              </m:accPr>
              <m:e>
                <m:r>
                  <m:rPr/>
                  <w:rPr>
                    <w:rFonts w:ascii="Cambria Math" w:hAnsi="Cambria Math"/>
                  </w:rPr>
                  <m:t>X</m:t>
                </m:r>
                <m:ctrlPr>
                  <w:rPr>
                    <w:rFonts w:ascii="Cambria Math" w:hAnsi="Cambria Math"/>
                  </w:rPr>
                </m:ctrlPr>
              </m:e>
            </m:acc>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w:bookmarkEnd w:id="123"/>
            <m:ctrlPr>
              <w:rPr>
                <w:rFonts w:ascii="Cambria Math" w:hAnsi="Cambria Math"/>
              </w:rPr>
            </m:ctrlPr>
          </m:sub>
        </m:sSub>
      </m:oMath>
      <w:r>
        <w:rPr>
          <w:rFonts w:hint="eastAsia"/>
        </w:rPr>
        <w:t>为平均光谱，则第j个元素表示为：</w:t>
      </w:r>
      <w:bookmarkStart w:id="124" w:name="OLE_LINK7"/>
    </w:p>
    <w:p w14:paraId="63160A03">
      <w:pPr>
        <w:pStyle w:val="245"/>
        <w:ind w:firstLine="2730" w:firstLineChars="1300"/>
      </w:pPr>
      <m:oMath>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j</m:t>
            </m:r>
            <m:r>
              <m:rPr/>
              <w:rPr>
                <w:rFonts w:ascii="Cambria Math" w:hAnsi="Cambria Math"/>
              </w:rPr>
              <m:t>=</m:t>
            </m:r>
            <m:ctrlPr>
              <w:rPr>
                <w:rFonts w:ascii="Cambria Math" w:hAnsi="Cambria Math"/>
                <w:i/>
              </w:rPr>
            </m:ctrlPr>
          </m:sub>
        </m:sSub>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m:t>
            </m:r>
            <m:ctrlPr>
              <w:rPr>
                <w:rFonts w:ascii="Cambria Math" w:hAnsi="Cambria Math"/>
                <w:i/>
              </w:rPr>
            </m:ctrlPr>
          </m:den>
        </m:f>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ij</m:t>
                </m:r>
                <m:ctrlPr>
                  <w:rPr>
                    <w:rFonts w:ascii="Cambria Math" w:hAnsi="Cambria Math"/>
                    <w:i/>
                  </w:rPr>
                </m:ctrlPr>
              </m:sub>
            </m:sSub>
            <m:ctrlPr>
              <w:rPr>
                <w:rFonts w:ascii="Cambria Math" w:hAnsi="Cambria Math"/>
                <w:i/>
              </w:rPr>
            </m:ctrlPr>
          </m:e>
        </m:nary>
      </m:oMath>
      <w:r>
        <w:rPr>
          <w:rFonts w:hint="eastAsia"/>
        </w:rPr>
        <w:t xml:space="preserve">                                                （4）</w:t>
      </w:r>
    </w:p>
    <w:bookmarkEnd w:id="124"/>
    <w:p w14:paraId="5F8AEE41">
      <w:pPr>
        <w:pStyle w:val="245"/>
      </w:pPr>
      <w:r>
        <w:rPr>
          <w:rFonts w:hint="eastAsia"/>
        </w:rPr>
        <w:t>原始光谱数据集矩阵的中心矩阵</w:t>
      </w:r>
      <m:oMath>
        <m:sSub>
          <m:sSubPr>
            <m:ctrlPr>
              <w:rPr>
                <w:rFonts w:ascii="Cambria Math" w:hAnsi="Cambria Math"/>
              </w:rPr>
            </m:ctrlPr>
          </m:sSubPr>
          <m:e>
            <m:acc>
              <m:accPr>
                <m:chr m:val="̅"/>
                <m:ctrlPr>
                  <w:rPr>
                    <w:rFonts w:ascii="Cambria Math" w:hAnsi="Cambria Math"/>
                  </w:rPr>
                </m:ctrlPr>
              </m:accPr>
              <m:e>
                <m:r>
                  <m:rPr/>
                  <w:rPr>
                    <w:rFonts w:ascii="Cambria Math" w:hAnsi="Cambria Math"/>
                  </w:rPr>
                  <m:t>X</m:t>
                </m:r>
                <m:ctrlPr>
                  <w:rPr>
                    <w:rFonts w:ascii="Cambria Math" w:hAnsi="Cambria Math"/>
                  </w:rPr>
                </m:ctrlPr>
              </m:e>
            </m:acc>
            <m:ctrlPr>
              <w:rPr>
                <w:rFonts w:ascii="Cambria Math" w:hAnsi="Cambria Math"/>
              </w:rPr>
            </m:ctrlPr>
          </m:e>
          <m:sub>
            <m:r>
              <m:rPr/>
              <w:rPr>
                <w:rFonts w:hint="eastAsia" w:ascii="Cambria Math" w:hAnsi="Cambria Math"/>
              </w:rPr>
              <m:t>n</m:t>
            </m:r>
            <m:r>
              <m:rPr>
                <m:sty m:val="p"/>
              </m:rPr>
              <w:rPr>
                <w:rFonts w:ascii="Cambria Math" w:hAnsi="Cambria Math"/>
              </w:rPr>
              <m:t>×</m:t>
            </m:r>
            <m:r>
              <m:rPr/>
              <w:rPr>
                <w:rFonts w:ascii="Cambria Math" w:hAnsi="Cambria Math"/>
              </w:rPr>
              <m:t>p</m:t>
            </m:r>
            <m:ctrlPr>
              <w:rPr>
                <w:rFonts w:ascii="Cambria Math" w:hAnsi="Cambria Math"/>
              </w:rPr>
            </m:ctrlPr>
          </m:sub>
        </m:sSub>
      </m:oMath>
      <w:r>
        <w:rPr>
          <w:rFonts w:hint="eastAsia"/>
        </w:rPr>
        <w:t>第j列表述为：</w:t>
      </w:r>
    </w:p>
    <w:p w14:paraId="6FE3134B">
      <w:pPr>
        <w:pStyle w:val="59"/>
        <w:ind w:firstLine="2730" w:firstLineChars="1300"/>
      </w:pPr>
      <w:bookmarkStart w:id="125" w:name="OLE_LINK8"/>
      <m:oMath>
        <m:sSub>
          <m:sSubPr>
            <m:ctrlPr>
              <w:rPr>
                <w:rFonts w:ascii="Cambria Math" w:hAnsi="Cambria Math"/>
                <w:i/>
              </w:rPr>
            </m:ctrlPr>
          </m:sSubPr>
          <m:e>
            <m:acc>
              <w:bookmarkStart w:id="126" w:name="OLE_LINK9"/>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hint="eastAsia" w:ascii="Cambria Math" w:hAnsi="Cambria Math"/>
              </w:rPr>
              <m:t>j</m:t>
            </m:r>
            <m:r>
              <m:rPr/>
              <w:rPr>
                <w:rFonts w:ascii="Cambria Math" w:hAnsi="Cambria Math"/>
              </w:rPr>
              <m:t>=</m:t>
            </m:r>
            <w:bookmarkEnd w:id="126"/>
            <m:ctrlPr>
              <w:rPr>
                <w:rFonts w:ascii="Cambria Math" w:hAnsi="Cambria Math"/>
                <w:i/>
              </w:rPr>
            </m:ctrlPr>
          </m:sub>
        </m:sSub>
        <m:sSub>
          <m:sSubPr>
            <m:ctrlPr>
              <w:rPr>
                <w:rFonts w:ascii="Cambria Math" w:hAnsi="Cambria Math"/>
                <w:i/>
              </w:rPr>
            </m:ctrlPr>
          </m:sSubPr>
          <m:e>
            <m:r>
              <m:rPr/>
              <w:rPr>
                <w:rFonts w:ascii="Cambria Math" w:hAnsi="Cambria Math"/>
              </w:rPr>
              <m:t>X</m:t>
            </m:r>
            <m:ctrlPr>
              <w:rPr>
                <w:rFonts w:ascii="Cambria Math" w:hAnsi="Cambria Math"/>
                <w:i/>
              </w:rPr>
            </m:ctrlPr>
          </m:e>
          <m:sub>
            <m:r>
              <m:rPr/>
              <w:rPr>
                <w:rFonts w:hint="eastAsia" w:ascii="Cambria Math" w:hAnsi="Cambria Math"/>
              </w:rPr>
              <m:t>j</m:t>
            </m:r>
            <m:ctrlPr>
              <w:rPr>
                <w:rFonts w:ascii="Cambria Math" w:hAnsi="Cambria Math"/>
                <w:i/>
              </w:rPr>
            </m:ctrlPr>
          </m:sub>
        </m:sSub>
        <m:r>
          <m:rP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sub>
            <m:r>
              <m:rPr/>
              <w:rPr>
                <w:rFonts w:ascii="Cambria Math" w:hAnsi="Cambria Math"/>
              </w:rPr>
              <m:t>j</m:t>
            </m:r>
            <m:ctrlPr>
              <w:rPr>
                <w:rFonts w:ascii="Cambria Math" w:hAnsi="Cambria Math"/>
                <w:i/>
              </w:rPr>
            </m:ctrlPr>
          </m:sub>
        </m:sSub>
      </m:oMath>
      <w:r>
        <w:rPr>
          <w:rFonts w:hint="eastAsia"/>
        </w:rPr>
        <w:t xml:space="preserve">                                                  （</w:t>
      </w:r>
      <w:r>
        <w:rPr>
          <w:rFonts w:hint="eastAsia" w:ascii="Times New Roman"/>
        </w:rPr>
        <w:t>5</w:t>
      </w:r>
      <w:r>
        <w:rPr>
          <w:rFonts w:hint="eastAsia"/>
        </w:rPr>
        <w:t>）</w:t>
      </w:r>
    </w:p>
    <w:bookmarkEnd w:id="125"/>
    <w:p w14:paraId="756822B9">
      <w:pPr>
        <w:pStyle w:val="59"/>
        <w:ind w:firstLine="420"/>
      </w:pPr>
      <w:r>
        <w:rPr>
          <w:rFonts w:hint="eastAsia"/>
        </w:rPr>
        <w:t>马氏矩阵</w:t>
      </w:r>
      <m:oMath>
        <m:sSub>
          <m:sSubPr>
            <m:ctrlPr>
              <w:rPr>
                <w:rFonts w:ascii="Cambria Math" w:hAnsi="Cambria Math"/>
                <w:i/>
              </w:rPr>
            </m:ctrlPr>
          </m:sSubPr>
          <m:e>
            <m:r>
              <m:rPr/>
              <w:rPr>
                <w:rFonts w:hint="eastAsia" w:ascii="Cambria Math" w:hAnsi="Cambria Math"/>
              </w:rPr>
              <m:t>M</m:t>
            </m:r>
            <m:ctrlPr>
              <w:rPr>
                <w:rFonts w:ascii="Cambria Math" w:hAnsi="Cambria Math"/>
                <w:i/>
              </w:rPr>
            </m:ctrlPr>
          </m:e>
          <m:sub>
            <m:r>
              <m:rPr/>
              <w:rPr>
                <w:rFonts w:ascii="Cambria Math" w:hAnsi="Cambria Math"/>
              </w:rPr>
              <m:t>p×p</m:t>
            </m:r>
            <m:ctrlPr>
              <w:rPr>
                <w:rFonts w:ascii="Cambria Math" w:hAnsi="Cambria Math"/>
                <w:i/>
              </w:rPr>
            </m:ctrlPr>
          </m:sub>
        </m:sSub>
      </m:oMath>
      <w:r>
        <w:rPr>
          <w:rFonts w:hint="eastAsia"/>
        </w:rPr>
        <w:t>为：</w:t>
      </w:r>
    </w:p>
    <w:p w14:paraId="3709046D">
      <w:pPr>
        <w:pStyle w:val="59"/>
        <w:ind w:firstLine="2730" w:firstLineChars="1300"/>
      </w:pPr>
      <w:bookmarkStart w:id="127" w:name="OLE_LINK10"/>
      <m:oMath>
        <m:sSub>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P×P</m:t>
            </m:r>
            <m:ctrlPr>
              <w:rPr>
                <w:rFonts w:ascii="Cambria Math" w:hAnsi="Cambria Math"/>
                <w:i/>
              </w:rPr>
            </m:ctrlPr>
          </m:sub>
        </m:sSub>
        <m:r>
          <m:rPr/>
          <w:rPr>
            <w:rFonts w:ascii="Cambria Math" w:hAnsi="Cambria Math"/>
          </w:rPr>
          <m:t>=</m:t>
        </m:r>
        <m:f>
          <m:fPr>
            <m:ctrlPr>
              <w:rPr>
                <w:rFonts w:ascii="Cambria Math" w:hAnsi="Cambria Math"/>
                <w:i/>
              </w:rPr>
            </m:ctrlPr>
          </m:fPr>
          <m:num>
            <m:r>
              <m:rPr/>
              <w:rPr>
                <w:rFonts w:ascii="Cambria Math" w:hAnsi="Cambria Math"/>
              </w:rPr>
              <m:t>1</m:t>
            </m:r>
            <m:ctrlPr>
              <w:rPr>
                <w:rFonts w:ascii="Cambria Math" w:hAnsi="Cambria Math"/>
                <w:i/>
              </w:rPr>
            </m:ctrlPr>
          </m:num>
          <m:den>
            <m:r>
              <m:rPr/>
              <w:rPr>
                <w:rFonts w:ascii="Cambria Math" w:hAnsi="Cambria Math"/>
              </w:rPr>
              <m:t>n−1</m:t>
            </m:r>
            <m:ctrlPr>
              <w:rPr>
                <w:rFonts w:ascii="Cambria Math" w:hAnsi="Cambria Math"/>
                <w:i/>
              </w:rPr>
            </m:ctrlPr>
          </m:den>
        </m:f>
        <m:r>
          <m:rPr/>
          <w:rPr>
            <w:rFonts w:ascii="Cambria Math" w:hAnsi="Cambria Math"/>
          </w:rPr>
          <m:t>(</m:t>
        </m:r>
        <m:acc>
          <m:accPr>
            <m:chr m:val="̅"/>
            <m:ctrlPr>
              <w:rPr>
                <w:rFonts w:ascii="Cambria Math" w:hAnsi="Cambria Math"/>
                <w:i/>
              </w:rPr>
            </m:ctrlPr>
          </m:accPr>
          <m:e>
            <m:r>
              <m:rPr/>
              <w:rPr>
                <w:rFonts w:ascii="Cambria Math" w:hAnsi="Cambria Math"/>
              </w:rPr>
              <m:t>X'</m:t>
            </m:r>
            <m:ctrlPr>
              <w:rPr>
                <w:rFonts w:ascii="Cambria Math" w:hAnsi="Cambria Math"/>
                <w:i/>
              </w:rPr>
            </m:ctrlPr>
          </m:e>
        </m:acc>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oMath>
      <w:r>
        <w:rPr>
          <w:rFonts w:hint="eastAsia"/>
        </w:rPr>
        <w:t xml:space="preserve">                                           （</w:t>
      </w:r>
      <w:r>
        <w:rPr>
          <w:rFonts w:hint="eastAsia" w:ascii="Times New Roman"/>
        </w:rPr>
        <w:t>6</w:t>
      </w:r>
      <w:r>
        <w:rPr>
          <w:rFonts w:hint="eastAsia"/>
        </w:rPr>
        <w:t>）</w:t>
      </w:r>
    </w:p>
    <w:bookmarkEnd w:id="127"/>
    <w:p w14:paraId="6FFB8EC1">
      <w:pPr>
        <w:pStyle w:val="245"/>
      </w:pPr>
      <w:r>
        <w:rPr>
          <w:rFonts w:hint="eastAsia"/>
        </w:rPr>
        <w:t>若M存在逆矩阵，则对样品X定义其对应的马氏距离为：</w:t>
      </w:r>
    </w:p>
    <w:p w14:paraId="20A0750E">
      <w:pPr>
        <w:pStyle w:val="59"/>
        <w:ind w:firstLine="2730" w:firstLineChars="1300"/>
      </w:pPr>
      <m:oMath>
        <m:r>
          <m:rPr/>
          <w:rPr>
            <w:rFonts w:ascii="Cambria Math" w:hAnsi="Cambria Math"/>
          </w:rPr>
          <m:t>MD=</m:t>
        </m:r>
        <m:rad>
          <m:radPr>
            <m:degHide m:val="1"/>
            <m:ctrlPr>
              <w:rPr>
                <w:rFonts w:ascii="Cambria Math" w:hAnsi="Cambria Math"/>
                <w:i/>
              </w:rPr>
            </m:ctrlPr>
          </m:radPr>
          <m:deg>
            <m:ctrlPr>
              <w:rPr>
                <w:rFonts w:ascii="Cambria Math" w:hAnsi="Cambria Math"/>
                <w:i/>
              </w:rPr>
            </m:ctrlPr>
          </m:deg>
          <m:e>
            <m:d>
              <m:dPr>
                <m:ctrlPr>
                  <w:rPr>
                    <w:rFonts w:ascii="Cambria Math" w:hAnsi="Cambria Math"/>
                    <w:i/>
                  </w:rPr>
                </m:ctrlPr>
              </m:dPr>
              <m:e>
                <m:r>
                  <m:rPr/>
                  <w:rPr>
                    <w:rFonts w:ascii="Cambria Math" w:hAnsi="Cambria Math"/>
                  </w:rPr>
                  <m:t>X−</m:t>
                </m:r>
                <m:acc>
                  <m:accPr>
                    <m:chr m:val="̅"/>
                    <m:ctrlPr>
                      <w:rPr>
                        <w:rFonts w:ascii="Cambria Math" w:hAnsi="Cambria Math"/>
                        <w:i/>
                      </w:rPr>
                    </m:ctrlPr>
                  </m:accPr>
                  <m:e>
                    <m:r>
                      <m:rPr/>
                      <w:rPr>
                        <w:rFonts w:ascii="Cambria Math" w:hAnsi="Cambria Math"/>
                      </w:rPr>
                      <m:t>X</m:t>
                    </m:r>
                    <m:ctrlPr>
                      <w:rPr>
                        <w:rFonts w:ascii="Cambria Math" w:hAnsi="Cambria Math"/>
                        <w:i/>
                      </w:rPr>
                    </m:ctrlPr>
                  </m:e>
                </m:acc>
                <m:ctrlPr>
                  <w:rPr>
                    <w:rFonts w:ascii="Cambria Math" w:hAnsi="Cambria Math"/>
                    <w:i/>
                  </w:rPr>
                </m:ctrlPr>
              </m:e>
            </m:d>
            <m:sSup>
              <m:sSupPr>
                <m:ctrlPr>
                  <w:rPr>
                    <w:rFonts w:ascii="Cambria Math" w:hAnsi="Cambria Math"/>
                    <w:i/>
                  </w:rPr>
                </m:ctrlPr>
              </m:sSupPr>
              <m:e>
                <m:r>
                  <m:rPr/>
                  <w:rPr>
                    <w:rFonts w:ascii="Cambria Math" w:hAnsi="Cambria Math"/>
                  </w:rPr>
                  <m:t>M</m:t>
                </m:r>
                <m:ctrlPr>
                  <w:rPr>
                    <w:rFonts w:ascii="Cambria Math" w:hAnsi="Cambria Math"/>
                    <w:i/>
                  </w:rPr>
                </m:ctrlPr>
              </m:e>
              <m:sup>
                <m:r>
                  <m:rPr/>
                  <w:rPr>
                    <w:rFonts w:ascii="Cambria Math" w:hAnsi="Cambria Math"/>
                  </w:rPr>
                  <m:t>−1</m:t>
                </m:r>
                <m:ctrlPr>
                  <w:rPr>
                    <w:rFonts w:ascii="Cambria Math" w:hAnsi="Cambria Math"/>
                    <w:i/>
                  </w:rPr>
                </m:ctrlPr>
              </m:sup>
            </m:sSup>
            <m:r>
              <m:rPr/>
              <w:rPr>
                <w:rFonts w:ascii="Cambria Math" w:hAnsi="Cambria Math"/>
              </w:rPr>
              <m:t>(X−</m:t>
            </m:r>
            <m:acc>
              <m:accPr>
                <m:chr m:val="̅"/>
                <m:ctrlPr>
                  <w:rPr>
                    <w:rFonts w:ascii="Cambria Math" w:hAnsi="Cambria Math"/>
                    <w:i/>
                  </w:rPr>
                </m:ctrlPr>
              </m:accPr>
              <m:e>
                <m:r>
                  <m:rPr/>
                  <w:rPr>
                    <w:rFonts w:ascii="Cambria Math" w:hAnsi="Cambria Math"/>
                  </w:rPr>
                  <m:t>X</m:t>
                </m:r>
                <m:ctrlPr>
                  <w:rPr>
                    <w:rFonts w:ascii="Cambria Math" w:hAnsi="Cambria Math"/>
                    <w:i/>
                  </w:rPr>
                </m:ctrlPr>
              </m:e>
            </m:acc>
            <m:r>
              <m:rPr/>
              <w:rPr>
                <w:rFonts w:ascii="Cambria Math" w:hAnsi="Cambria Math"/>
              </w:rPr>
              <m:t>)'</m:t>
            </m:r>
            <m:ctrlPr>
              <w:rPr>
                <w:rFonts w:ascii="Cambria Math" w:hAnsi="Cambria Math"/>
                <w:i/>
              </w:rPr>
            </m:ctrlPr>
          </m:e>
        </m:rad>
      </m:oMath>
      <w:r>
        <w:rPr>
          <w:rFonts w:hint="eastAsia"/>
        </w:rPr>
        <w:t xml:space="preserve">                                  （</w:t>
      </w:r>
      <w:r>
        <w:rPr>
          <w:rFonts w:hint="eastAsia" w:ascii="Times New Roman"/>
        </w:rPr>
        <w:t>7</w:t>
      </w:r>
      <w:r>
        <w:rPr>
          <w:rFonts w:hint="eastAsia"/>
        </w:rPr>
        <w:t>）</w:t>
      </w:r>
    </w:p>
    <w:p w14:paraId="46B76623">
      <w:pPr>
        <w:pStyle w:val="245"/>
      </w:pPr>
      <w:r>
        <w:rPr>
          <w:rFonts w:hint="eastAsia"/>
        </w:rPr>
        <w:t>在实际处理实验光谱数据时，可以根据实验对数据的剔除要求，通过设置一定的阈值，将对应样本的MD大于该阈值的数据定为异常样本。</w:t>
      </w:r>
      <w:bookmarkEnd w:id="121"/>
    </w:p>
    <w:p w14:paraId="04D63492">
      <w:pPr>
        <w:pStyle w:val="241"/>
        <w:numPr>
          <w:ilvl w:val="0"/>
          <w:numId w:val="0"/>
        </w:numPr>
      </w:pPr>
      <w:bookmarkStart w:id="128" w:name="OLE_LINK46"/>
      <w:r>
        <w:rPr>
          <w:rFonts w:hint="eastAsia"/>
        </w:rPr>
        <w:t>A.1.2</w:t>
      </w:r>
      <w:r>
        <w:t>欧</w:t>
      </w:r>
      <w:r>
        <w:rPr>
          <w:rFonts w:hint="eastAsia"/>
        </w:rPr>
        <w:t>氏</w:t>
      </w:r>
      <w:r>
        <w:t>距离 euclidean distance（ED）</w:t>
      </w:r>
    </w:p>
    <w:p w14:paraId="28AB6F13">
      <w:pPr>
        <w:pStyle w:val="245"/>
      </w:pPr>
      <w:r>
        <w:t>欧几里得空间中两点间的直线距离。计算光谱数据的平均光谱作为中心矢量，按式（</w:t>
      </w:r>
      <w:r>
        <w:rPr>
          <w:rFonts w:hint="eastAsia"/>
        </w:rPr>
        <w:t>8</w:t>
      </w:r>
      <w:r>
        <w:t>）进行计算。计算单个未知样本与平均光谱之间的欧</w:t>
      </w:r>
      <w:r>
        <w:rPr>
          <w:rFonts w:hint="eastAsia"/>
        </w:rPr>
        <w:t>氏</w:t>
      </w:r>
      <w:r>
        <w:t>距离，按式（</w:t>
      </w:r>
      <w:r>
        <w:rPr>
          <w:rFonts w:hint="eastAsia"/>
        </w:rPr>
        <w:t>9</w:t>
      </w:r>
      <w:r>
        <w:t>）进行计算。</w:t>
      </w:r>
    </w:p>
    <w:p w14:paraId="53D101EB">
      <w:pPr>
        <w:pStyle w:val="59"/>
        <w:ind w:left="2730" w:leftChars="1300" w:firstLine="0" w:firstLineChars="0"/>
      </w:pPr>
      <w:r>
        <w:rPr>
          <w:position w:val="-28"/>
        </w:rPr>
        <w:object>
          <v:shape id="_x0000_i1025" o:spt="75" type="#_x0000_t75" style="height:33.7pt;width:57.6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hint="eastAsia"/>
        </w:rPr>
        <w:t xml:space="preserve">  </w:t>
      </w:r>
      <w:bookmarkStart w:id="129" w:name="OLE_LINK52"/>
      <w:r>
        <w:rPr>
          <w:rFonts w:hint="eastAsia"/>
        </w:rPr>
        <w:t xml:space="preserve">                                               （</w:t>
      </w:r>
      <w:bookmarkEnd w:id="129"/>
      <w:r>
        <w:rPr>
          <w:rFonts w:hint="eastAsia" w:ascii="Times New Roman"/>
        </w:rPr>
        <w:t>8</w:t>
      </w:r>
      <w:r>
        <w:rPr>
          <w:rFonts w:hint="eastAsia"/>
        </w:rPr>
        <w:t>）</w:t>
      </w:r>
      <w:r>
        <w:rPr>
          <w:position w:val="-14"/>
        </w:rPr>
        <w:object>
          <v:shape id="_x0000_i1026" o:spt="75" type="#_x0000_t75" style="height:23.9pt;width:111.7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r>
        <w:rPr>
          <w:rFonts w:hint="eastAsia"/>
        </w:rPr>
        <w:t xml:space="preserve">                                      （</w:t>
      </w:r>
      <w:r>
        <w:rPr>
          <w:rFonts w:hint="eastAsia" w:ascii="Times New Roman"/>
        </w:rPr>
        <w:t>9</w:t>
      </w:r>
      <w:r>
        <w:rPr>
          <w:rFonts w:hint="eastAsia"/>
        </w:rPr>
        <w:t>）</w:t>
      </w:r>
    </w:p>
    <w:p w14:paraId="1443824B">
      <w:pPr>
        <w:pStyle w:val="239"/>
        <w:spacing w:line="320" w:lineRule="exact"/>
      </w:pPr>
      <w:r>
        <w:t>式中：</w:t>
      </w:r>
    </w:p>
    <w:p w14:paraId="7CEA3CA0">
      <w:pPr>
        <w:pStyle w:val="239"/>
        <w:spacing w:line="320" w:lineRule="exact"/>
      </w:pPr>
      <w:bookmarkStart w:id="130" w:name="_Hlk195808744"/>
      <w:r>
        <w:rPr>
          <w:position w:val="-6"/>
        </w:rPr>
        <w:object>
          <v:shape id="_x0000_i1027" o:spt="75" type="#_x0000_t75" style="height:10.1pt;width:10.1pt;" o:ole="t" filled="f" o:preferrelative="t" stroked="f" coordsize="21600,21600">
            <v:path/>
            <v:fill on="f" focussize="0,0"/>
            <v:stroke on="f" joinstyle="miter"/>
            <v:imagedata r:id="rId21" o:title=""/>
            <o:lock v:ext="edit" aspectratio="t"/>
            <w10:wrap type="none"/>
            <w10:anchorlock/>
          </v:shape>
          <o:OLEObject Type="Embed" ProgID="Equation.DSMT4" ShapeID="_x0000_i1027" DrawAspect="Content" ObjectID="_1468075727" r:id="rId20">
            <o:LockedField>false</o:LockedField>
          </o:OLEObject>
        </w:object>
      </w:r>
      <w:r>
        <w:t>——校正样品总样本个数；</w:t>
      </w:r>
    </w:p>
    <w:p w14:paraId="4124CDF8">
      <w:pPr>
        <w:pStyle w:val="239"/>
        <w:spacing w:line="320" w:lineRule="exact"/>
      </w:pPr>
      <w:r>
        <w:rPr>
          <w:position w:val="-12"/>
        </w:rPr>
        <w:object>
          <v:shape id="_x0000_i1028" o:spt="75" type="#_x0000_t75" style="height:18.7pt;width:12.1pt;" o:ole="t" filled="f" o:preferrelative="t" stroked="f" coordsize="21600,21600">
            <v:path/>
            <v:fill on="f" focussize="0,0"/>
            <v:stroke on="f" joinstyle="miter"/>
            <v:imagedata r:id="rId23" o:title=""/>
            <o:lock v:ext="edit" aspectratio="t"/>
            <w10:wrap type="none"/>
            <w10:anchorlock/>
          </v:shape>
          <o:OLEObject Type="Embed" ProgID="Equation.DSMT4" ShapeID="_x0000_i1028" DrawAspect="Content" ObjectID="_1468075728" r:id="rId22">
            <o:LockedField>false</o:LockedField>
          </o:OLEObject>
        </w:object>
      </w:r>
      <w:r>
        <w:t>——校正样品中第</w:t>
      </w:r>
      <w:r>
        <w:rPr>
          <w:i/>
          <w:iCs/>
        </w:rPr>
        <w:t>i</w:t>
      </w:r>
      <w:r>
        <w:t>个样本的光谱。</w:t>
      </w:r>
    </w:p>
    <w:bookmarkEnd w:id="128"/>
    <w:bookmarkEnd w:id="130"/>
    <w:p w14:paraId="3BFE8912">
      <w:pPr>
        <w:pStyle w:val="81"/>
        <w:spacing w:before="120" w:after="120"/>
        <w:ind w:left="-142"/>
        <w:outlineLvl w:val="9"/>
      </w:pPr>
      <w:r>
        <w:rPr>
          <w:rFonts w:hint="eastAsia"/>
        </w:rPr>
        <w:t>预测结果数据异常</w:t>
      </w:r>
    </w:p>
    <w:p w14:paraId="2EDD598C">
      <w:pPr>
        <w:pStyle w:val="245"/>
      </w:pPr>
      <w:r>
        <w:rPr>
          <w:rFonts w:hint="eastAsia"/>
        </w:rPr>
        <w:t>若某个样品的预测值与参考值有显著差异，对可通过参考值与预测值关系图进行筛选，如8.2中图1所示，明显离群的样品为异常</w:t>
      </w:r>
      <w:bookmarkEnd w:id="118"/>
      <w:r>
        <w:rPr>
          <w:rFonts w:hint="eastAsia"/>
        </w:rPr>
        <w:t>。</w:t>
      </w:r>
    </w:p>
    <w:bookmarkEnd w:id="119"/>
    <w:p w14:paraId="7CC119CF">
      <w:pPr>
        <w:widowControl/>
        <w:adjustRightInd/>
        <w:spacing w:line="240" w:lineRule="auto"/>
        <w:jc w:val="left"/>
        <w:rPr>
          <w:rFonts w:ascii="宋体" w:hAnsi="Times New Roman"/>
          <w:kern w:val="0"/>
          <w:szCs w:val="20"/>
        </w:rPr>
      </w:pPr>
      <w:r>
        <w:br w:type="page"/>
      </w:r>
    </w:p>
    <w:p w14:paraId="1708251E">
      <w:pPr>
        <w:pStyle w:val="79"/>
        <w:spacing w:after="120"/>
        <w:ind w:left="0"/>
      </w:pPr>
      <w:bookmarkStart w:id="131" w:name="OLE_LINK84"/>
    </w:p>
    <w:p w14:paraId="2E84C0BF">
      <w:pPr>
        <w:pStyle w:val="79"/>
        <w:numPr>
          <w:ilvl w:val="0"/>
          <w:numId w:val="0"/>
        </w:numPr>
        <w:spacing w:before="0" w:after="0" w:afterLines="0"/>
      </w:pPr>
      <w:r>
        <w:rPr>
          <w:rFonts w:hint="eastAsia"/>
        </w:rPr>
        <w:t>(</w:t>
      </w:r>
      <w:bookmarkStart w:id="132" w:name="OLE_LINK85"/>
      <w:r>
        <w:rPr>
          <w:rFonts w:hint="eastAsia"/>
        </w:rPr>
        <w:t>资料型附录)</w:t>
      </w:r>
    </w:p>
    <w:p w14:paraId="35E338DA">
      <w:pPr>
        <w:pStyle w:val="243"/>
        <w:ind w:left="0" w:leftChars="0" w:right="0" w:rightChars="0"/>
        <w:rPr>
          <w:color w:val="auto"/>
        </w:rPr>
      </w:pPr>
      <w:r>
        <w:rPr>
          <w:rFonts w:hint="eastAsia"/>
          <w:color w:val="auto"/>
        </w:rPr>
        <w:t>光谱数据处理方法示例</w:t>
      </w:r>
      <w:bookmarkStart w:id="133" w:name="OLE_LINK29"/>
      <w:bookmarkStart w:id="134" w:name="OLE_LINK40"/>
    </w:p>
    <w:p w14:paraId="6908D863">
      <w:pPr>
        <w:pStyle w:val="81"/>
        <w:spacing w:before="120" w:after="120"/>
        <w:ind w:left="-142"/>
        <w:outlineLvl w:val="9"/>
      </w:pPr>
      <w:bookmarkStart w:id="135" w:name="OLE_LINK83"/>
      <w:bookmarkStart w:id="136" w:name="OLE_LINK42"/>
      <w:r>
        <w:rPr>
          <w:rFonts w:ascii="Times New Roman"/>
        </w:rPr>
        <w:t>Savitzky-Golay</w:t>
      </w:r>
      <w:r>
        <w:rPr>
          <w:rFonts w:hint="eastAsia"/>
        </w:rPr>
        <w:t>平滑</w:t>
      </w:r>
    </w:p>
    <w:bookmarkEnd w:id="131"/>
    <w:bookmarkEnd w:id="132"/>
    <w:bookmarkEnd w:id="133"/>
    <w:bookmarkEnd w:id="135"/>
    <w:p w14:paraId="13623BF6">
      <w:pPr>
        <w:pStyle w:val="245"/>
      </w:pPr>
      <w:r>
        <w:rPr>
          <w:rFonts w:hint="eastAsia"/>
        </w:rPr>
        <w:t>Savitzky-Golay（SG）通过局部多项式最小二乘拟合，用拟合值替代原始数据点，实现平滑效果。其核心是通过设定一个特定长度的窗口，在窗口内采用k阶多项式对数据点进行精确拟合，从而计算得到各数据点的平滑值。SG按式（10）进行计算：</w:t>
      </w:r>
    </w:p>
    <w:p w14:paraId="3AA318B8">
      <w:pPr>
        <w:pStyle w:val="241"/>
        <w:numPr>
          <w:ilvl w:val="0"/>
          <w:numId w:val="0"/>
        </w:numPr>
        <w:ind w:firstLine="2730" w:firstLineChars="1300"/>
        <w:jc w:val="right"/>
        <w:rPr>
          <w:rFonts w:eastAsia="宋体"/>
        </w:rPr>
      </w:pPr>
      <m:oMath>
        <m:r>
          <m:rPr/>
          <w:rPr>
            <w:rFonts w:hint="eastAsia" w:ascii="Cambria Math" w:hAnsi="Cambria Math" w:eastAsia="宋体"/>
          </w:rPr>
          <m:t>y</m:t>
        </m:r>
        <m:r>
          <m:rPr/>
          <w:rPr>
            <w:rFonts w:ascii="Cambria Math" w:hAnsi="Cambria Math" w:eastAsia="宋体"/>
          </w:rPr>
          <m:t>=</m:t>
        </m:r>
        <m:f>
          <m:fPr>
            <m:ctrlPr>
              <w:rPr>
                <w:rFonts w:ascii="Cambria Math" w:hAnsi="Cambria Math" w:eastAsia="宋体"/>
                <w:i/>
              </w:rPr>
            </m:ctrlPr>
          </m:fPr>
          <m:num>
            <m:r>
              <m:rPr/>
              <w:rPr>
                <w:rFonts w:ascii="Cambria Math" w:hAnsi="Cambria Math" w:eastAsia="宋体"/>
              </w:rPr>
              <m:t>1</m:t>
            </m:r>
            <m:ctrlPr>
              <w:rPr>
                <w:rFonts w:ascii="Cambria Math" w:hAnsi="Cambria Math" w:eastAsia="宋体"/>
                <w:i/>
              </w:rPr>
            </m:ctrlPr>
          </m:num>
          <m:den>
            <m:r>
              <m:rPr/>
              <w:rPr>
                <w:rFonts w:ascii="Cambria Math" w:hAnsi="Cambria Math" w:eastAsia="宋体"/>
              </w:rPr>
              <m:t>k</m:t>
            </m:r>
            <m:ctrlPr>
              <w:rPr>
                <w:rFonts w:ascii="Cambria Math" w:hAnsi="Cambria Math" w:eastAsia="宋体"/>
                <w:i/>
              </w:rPr>
            </m:ctrlPr>
          </m:den>
        </m:f>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m:t>
            </m:r>
            <m:ctrlPr>
              <w:rPr>
                <w:rFonts w:ascii="Cambria Math" w:hAnsi="Cambria Math" w:eastAsia="宋体"/>
                <w:i/>
              </w:rPr>
            </m:ctrlPr>
          </m:sub>
        </m:sSub>
        <m:r>
          <m:rPr/>
          <w:rPr>
            <w:rFonts w:ascii="Cambria Math" w:hAnsi="Cambria Math" w:eastAsia="宋体"/>
          </w:rPr>
          <m:t>+…+</m:t>
        </m:r>
        <m:sSub>
          <m:sSubPr>
            <m:ctrlPr>
              <w:rPr>
                <w:rFonts w:ascii="Cambria Math" w:hAnsi="Cambria Math" w:eastAsia="宋体"/>
                <w:i/>
              </w:rPr>
            </m:ctrlPr>
          </m:sSubPr>
          <m:e>
            <m:r>
              <m:rPr/>
              <w:rPr>
                <w:rFonts w:ascii="Cambria Math" w:hAnsi="Cambria Math" w:eastAsia="宋体"/>
              </w:rPr>
              <m:t>b</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ascii="Cambria Math" w:hAnsi="Cambria Math" w:eastAsia="宋体"/>
              </w:rPr>
              <m:t>i+1</m:t>
            </m:r>
            <m:ctrlPr>
              <w:rPr>
                <w:rFonts w:ascii="Cambria Math" w:hAnsi="Cambria Math" w:eastAsia="宋体"/>
                <w:i/>
              </w:rPr>
            </m:ctrlPr>
          </m:sub>
        </m:sSub>
        <m:r>
          <m:rPr/>
          <w:rPr>
            <w:rFonts w:ascii="Cambria Math" w:hAnsi="Cambria Math" w:eastAsia="宋体"/>
          </w:rPr>
          <m:t>)</m:t>
        </m:r>
      </m:oMath>
      <w:r>
        <w:rPr>
          <w:rFonts w:hint="eastAsia" w:eastAsia="宋体"/>
        </w:rPr>
        <w:t xml:space="preserve">                     </w:t>
      </w:r>
      <w:bookmarkStart w:id="137" w:name="OLE_LINK78"/>
      <w:r>
        <w:rPr>
          <w:rFonts w:hint="eastAsia" w:eastAsia="宋体"/>
        </w:rPr>
        <w:t>（10）</w:t>
      </w:r>
      <w:bookmarkEnd w:id="137"/>
    </w:p>
    <w:p w14:paraId="1DF82835">
      <w:pPr>
        <w:pStyle w:val="241"/>
        <w:numPr>
          <w:ilvl w:val="0"/>
          <w:numId w:val="0"/>
        </w:numPr>
        <w:ind w:firstLine="420" w:firstLineChars="200"/>
        <w:rPr>
          <w:rFonts w:eastAsia="宋体"/>
        </w:rPr>
      </w:pPr>
      <w:r>
        <w:rPr>
          <w:rFonts w:hint="eastAsia" w:eastAsia="宋体"/>
        </w:rPr>
        <w:t>式中：</w:t>
      </w:r>
    </w:p>
    <w:p w14:paraId="542B392B">
      <w:pPr>
        <w:pStyle w:val="241"/>
        <w:numPr>
          <w:ilvl w:val="0"/>
          <w:numId w:val="0"/>
        </w:numPr>
        <w:spacing w:before="0" w:after="0"/>
        <w:ind w:firstLine="420" w:firstLineChars="200"/>
        <w:rPr>
          <w:rFonts w:eastAsia="宋体"/>
        </w:rPr>
      </w:pPr>
      <m:oMath>
        <w:bookmarkStart w:id="138" w:name="OLE_LINK95"/>
        <m:r>
          <m:rPr/>
          <w:rPr>
            <w:rFonts w:ascii="Cambria Math" w:hAnsi="Cambria Math" w:eastAsia="宋体"/>
          </w:rPr>
          <m:t>k</m:t>
        </m:r>
        <m:r>
          <m:rPr/>
          <w:rPr>
            <w:rFonts w:hint="eastAsia" w:ascii="Cambria Math" w:hAnsi="Cambria Math" w:eastAsia="宋体"/>
          </w:rPr>
          <m:t>、b、i</m:t>
        </m:r>
      </m:oMath>
      <w:r>
        <w:t>——</w:t>
      </w:r>
      <w:r>
        <w:rPr>
          <w:rFonts w:hint="eastAsia" w:eastAsia="宋体"/>
        </w:rPr>
        <w:t>卷积平滑系数；</w:t>
      </w:r>
    </w:p>
    <w:p w14:paraId="193CFE24">
      <w:pPr>
        <w:pStyle w:val="241"/>
        <w:numPr>
          <w:ilvl w:val="0"/>
          <w:numId w:val="0"/>
        </w:numPr>
        <w:spacing w:before="0" w:after="0"/>
        <w:ind w:firstLine="420" w:firstLineChars="200"/>
        <w:rPr>
          <w:rFonts w:eastAsia="宋体"/>
        </w:rPr>
      </w:pPr>
      <m:oMath>
        <m:sSub>
          <m:sSubPr>
            <m:ctrlPr>
              <w:rPr>
                <w:rFonts w:ascii="Cambria Math" w:hAnsi="Cambria Math" w:eastAsia="宋体"/>
                <w:i/>
              </w:rPr>
            </m:ctrlPr>
          </m:sSubPr>
          <m:e>
            <m:r>
              <m:rPr/>
              <w:rPr>
                <w:rFonts w:ascii="Cambria Math" w:hAnsi="Cambria Math" w:eastAsia="宋体"/>
              </w:rPr>
              <m:t>x</m:t>
            </m:r>
            <m:ctrlPr>
              <w:rPr>
                <w:rFonts w:ascii="Cambria Math" w:hAnsi="Cambria Math" w:eastAsia="宋体"/>
                <w:i/>
              </w:rPr>
            </m:ctrlPr>
          </m:e>
          <m:sub>
            <m:r>
              <m:rPr/>
              <w:rPr>
                <w:rFonts w:hint="eastAsia" w:ascii="Cambria Math" w:hAnsi="Cambria Math" w:eastAsia="宋体"/>
              </w:rPr>
              <m:t>i</m:t>
            </m:r>
            <m:ctrlPr>
              <w:rPr>
                <w:rFonts w:ascii="Cambria Math" w:hAnsi="Cambria Math" w:eastAsia="宋体"/>
                <w:i/>
              </w:rPr>
            </m:ctrlPr>
          </m:sub>
        </m:sSub>
      </m:oMath>
      <w:bookmarkStart w:id="139" w:name="_Hlk195808697"/>
      <w:r>
        <w:t>——</w:t>
      </w:r>
      <w:bookmarkEnd w:id="139"/>
      <w:r>
        <w:rPr>
          <w:rFonts w:hint="eastAsia" w:eastAsia="宋体"/>
        </w:rPr>
        <w:t>为单个煤样待拟合；</w:t>
      </w:r>
    </w:p>
    <w:p w14:paraId="53EE648C">
      <w:pPr>
        <w:pStyle w:val="241"/>
        <w:numPr>
          <w:ilvl w:val="0"/>
          <w:numId w:val="0"/>
        </w:numPr>
        <w:spacing w:before="0" w:after="0"/>
        <w:ind w:firstLine="420" w:firstLineChars="200"/>
        <w:rPr>
          <w:rFonts w:eastAsia="宋体"/>
        </w:rPr>
      </w:pPr>
      <m:oMath>
        <m:r>
          <m:rPr/>
          <w:rPr>
            <w:rFonts w:hint="eastAsia" w:ascii="Cambria Math" w:hAnsi="Cambria Math" w:eastAsia="宋体"/>
          </w:rPr>
          <m:t>y</m:t>
        </m:r>
      </m:oMath>
      <w:r>
        <w:rPr>
          <w:rFonts w:eastAsia="宋体"/>
        </w:rPr>
        <w:t>——</w:t>
      </w:r>
      <w:r>
        <w:rPr>
          <w:rFonts w:hint="eastAsia" w:eastAsia="宋体"/>
        </w:rPr>
        <w:t>拟合后的输出数据。</w:t>
      </w:r>
    </w:p>
    <w:bookmarkEnd w:id="138"/>
    <w:p w14:paraId="7B9434E9">
      <w:pPr>
        <w:pStyle w:val="241"/>
        <w:numPr>
          <w:ilvl w:val="0"/>
          <w:numId w:val="0"/>
        </w:numPr>
        <w:spacing w:before="0" w:after="0"/>
        <w:ind w:firstLine="420" w:firstLineChars="200"/>
        <w:rPr>
          <w:rFonts w:eastAsia="宋体"/>
        </w:rPr>
      </w:pPr>
      <w:r>
        <w:rPr>
          <w:rFonts w:hint="eastAsia" w:eastAsia="宋体"/>
        </w:rPr>
        <w:t>示例：</w:t>
      </w:r>
      <w:r>
        <w:rPr>
          <w:rFonts w:hint="eastAsia" w:eastAsia="宋体"/>
          <w:kern w:val="0"/>
          <w:szCs w:val="20"/>
        </w:rPr>
        <w:t>窗口大小设为5，多项式阶数设为3。</w:t>
      </w:r>
    </w:p>
    <w:p w14:paraId="7FBEB79E">
      <w:pPr>
        <w:pStyle w:val="81"/>
        <w:spacing w:before="120" w:after="120"/>
        <w:ind w:left="-142"/>
        <w:outlineLvl w:val="9"/>
      </w:pPr>
      <w:r>
        <w:rPr>
          <w:rFonts w:hint="eastAsia"/>
        </w:rPr>
        <w:t>标准正态变换</w:t>
      </w:r>
      <w:r>
        <w:t>（</w:t>
      </w:r>
      <w:r>
        <w:rPr>
          <w:rFonts w:ascii="Times New Roman"/>
        </w:rPr>
        <w:t>standard normal variate transformation</w:t>
      </w:r>
      <w:r>
        <w:rPr>
          <w:rFonts w:hint="eastAsia"/>
        </w:rPr>
        <w:t>,</w:t>
      </w:r>
      <w:r>
        <w:rPr>
          <w:rFonts w:ascii="Times New Roman"/>
        </w:rPr>
        <w:t>SNV</w:t>
      </w:r>
      <w:r>
        <w:t>）</w:t>
      </w:r>
      <w:bookmarkEnd w:id="136"/>
    </w:p>
    <w:bookmarkEnd w:id="134"/>
    <w:p w14:paraId="529714AB">
      <w:pPr>
        <w:pStyle w:val="245"/>
      </w:pPr>
      <w:bookmarkStart w:id="140" w:name="_Hlk193707949"/>
      <w:r>
        <w:rPr>
          <w:rFonts w:hint="eastAsia"/>
        </w:rPr>
        <w:t>利用SNV可以克服由于煤样颗粒不均匀导致的光谱信息干扰。其原理是将光谱数据转换为标准正态分布的变量，对每个数据点进行标准差归一化和均值中心化操作，消除光谱数据中的尺幅效应。在漫反射光谱测量中，易因颗粒度差异、表面粗糙度差异等引入噪音。SNV通过数据变换消除这些物理影响，增强光谱与煤样化学性质之间的真实关联性。SNV</w:t>
      </w:r>
      <w:r>
        <w:t>按式（1</w:t>
      </w:r>
      <w:r>
        <w:rPr>
          <w:rFonts w:hint="eastAsia"/>
        </w:rPr>
        <w:t>1</w:t>
      </w:r>
      <w:r>
        <w:t>）</w:t>
      </w:r>
      <w:r>
        <w:rPr>
          <w:rFonts w:hint="eastAsia"/>
        </w:rPr>
        <w:t>、（12）</w:t>
      </w:r>
      <w:r>
        <w:t>进行计算。</w:t>
      </w:r>
    </w:p>
    <w:p w14:paraId="0900D019">
      <w:pPr>
        <w:pStyle w:val="245"/>
        <w:ind w:firstLine="2730" w:firstLineChars="1300"/>
      </w:pPr>
      <w:r>
        <w:rPr>
          <w:position w:val="-66"/>
        </w:rPr>
        <w:object>
          <v:shape id="_x0000_i1029" o:spt="75" type="#_x0000_t75" style="height:52.15pt;width:101.95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r>
        <w:rPr>
          <w:rFonts w:hint="eastAsia"/>
        </w:rPr>
        <w:t xml:space="preserve">                                      （11）</w:t>
      </w:r>
    </w:p>
    <w:p w14:paraId="7F3BF8BD">
      <w:pPr>
        <w:pStyle w:val="245"/>
        <w:ind w:firstLine="2730" w:firstLineChars="1300"/>
      </w:pPr>
      <w:r>
        <w:rPr>
          <w:position w:val="-24"/>
        </w:rPr>
        <w:object>
          <v:shape id="_x0000_i1030" o:spt="75" type="#_x0000_t75" style="height:48.1pt;width:48.1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r>
        <w:rPr>
          <w:rFonts w:hint="eastAsia"/>
        </w:rPr>
        <w:t xml:space="preserve">                                                （12）</w:t>
      </w:r>
    </w:p>
    <w:bookmarkEnd w:id="140"/>
    <w:p w14:paraId="3AC26A90">
      <w:pPr>
        <w:pStyle w:val="239"/>
        <w:spacing w:line="320" w:lineRule="exact"/>
      </w:pPr>
      <w:r>
        <w:t>式中：</w:t>
      </w:r>
    </w:p>
    <w:p w14:paraId="4F7EF28C">
      <w:pPr>
        <w:pStyle w:val="239"/>
        <w:spacing w:line="320" w:lineRule="exact"/>
      </w:pPr>
      <w:bookmarkStart w:id="141" w:name="_Hlk195808641"/>
      <w:r>
        <w:rPr>
          <w:position w:val="-6"/>
        </w:rPr>
        <w:object>
          <v:shape id="_x0000_i1031" o:spt="75" type="#_x0000_t75" style="height:10.1pt;width:10.1pt;" o:ole="t" filled="f" o:preferrelative="t" stroked="f" coordsize="21600,21600">
            <v:path/>
            <v:fill on="f" focussize="0,0"/>
            <v:stroke on="f" joinstyle="miter"/>
            <v:imagedata r:id="rId29" o:title=""/>
            <o:lock v:ext="edit" aspectratio="t"/>
            <w10:wrap type="none"/>
            <w10:anchorlock/>
          </v:shape>
          <o:OLEObject Type="Embed" ProgID="Equation.DSMT4" ShapeID="_x0000_i1031" DrawAspect="Content" ObjectID="_1468075731" r:id="rId28">
            <o:LockedField>false</o:LockedField>
          </o:OLEObject>
        </w:object>
      </w:r>
      <w:bookmarkStart w:id="142" w:name="OLE_LINK63"/>
      <w:r>
        <w:t>——</w:t>
      </w:r>
      <w:bookmarkEnd w:id="142"/>
      <w:r>
        <w:t>待数据预处理的近红外光谱；</w:t>
      </w:r>
    </w:p>
    <w:p w14:paraId="542BD5B3">
      <w:pPr>
        <w:pStyle w:val="239"/>
        <w:spacing w:line="320" w:lineRule="exact"/>
      </w:pPr>
      <w:r>
        <w:rPr>
          <w:position w:val="-6"/>
        </w:rPr>
        <w:object>
          <v:shape id="_x0000_i1032" o:spt="75" type="#_x0000_t75" style="height:12.95pt;width:10.1pt;" o:ole="t" filled="f" o:preferrelative="t" stroked="f" coordsize="21600,21600">
            <v:path/>
            <v:fill on="f" focussize="0,0"/>
            <v:stroke on="f" joinstyle="miter"/>
            <v:imagedata r:id="rId31" o:title=""/>
            <o:lock v:ext="edit" aspectratio="t"/>
            <w10:wrap type="none"/>
            <w10:anchorlock/>
          </v:shape>
          <o:OLEObject Type="Embed" ProgID="Equation.DSMT4" ShapeID="_x0000_i1032" DrawAspect="Content" ObjectID="_1468075732" r:id="rId30">
            <o:LockedField>false</o:LockedField>
          </o:OLEObject>
        </w:object>
      </w:r>
      <w:r>
        <w:t>——光谱的平均吸光度；</w:t>
      </w:r>
    </w:p>
    <w:p w14:paraId="30B222FF">
      <w:pPr>
        <w:pStyle w:val="239"/>
        <w:spacing w:line="320" w:lineRule="exact"/>
      </w:pPr>
      <w:r>
        <w:rPr>
          <w:position w:val="-12"/>
        </w:rPr>
        <w:object>
          <v:shape id="_x0000_i1033" o:spt="75" type="#_x0000_t75" style="height:19.6pt;width:12.1pt;" o:ole="t" filled="f" o:preferrelative="t" stroked="f" coordsize="21600,21600">
            <v:path/>
            <v:fill on="f" focussize="0,0"/>
            <v:stroke on="f" joinstyle="miter"/>
            <v:imagedata r:id="rId33" o:title=""/>
            <o:lock v:ext="edit" aspectratio="t"/>
            <w10:wrap type="none"/>
            <w10:anchorlock/>
          </v:shape>
          <o:OLEObject Type="Embed" ProgID="Equation.DSMT4" ShapeID="_x0000_i1033" DrawAspect="Content" ObjectID="_1468075733" r:id="rId32">
            <o:LockedField>false</o:LockedField>
          </o:OLEObject>
        </w:object>
      </w:r>
      <w:r>
        <w:t>——光谱第i个波数点对应的吸光度值；</w:t>
      </w:r>
    </w:p>
    <w:p w14:paraId="3CF56ADA">
      <w:pPr>
        <w:pStyle w:val="239"/>
        <w:spacing w:line="320" w:lineRule="exact"/>
      </w:pPr>
      <w:r>
        <w:rPr>
          <w:position w:val="-6"/>
        </w:rPr>
        <w:object>
          <v:shape id="_x0000_i1034" o:spt="75" type="#_x0000_t75" style="height:10.1pt;width:12.95pt;" o:ole="t" filled="f" o:preferrelative="t" stroked="f" coordsize="21600,21600">
            <v:path/>
            <v:fill on="f" focussize="0,0"/>
            <v:stroke on="f" joinstyle="miter"/>
            <v:imagedata r:id="rId35" o:title=""/>
            <o:lock v:ext="edit" aspectratio="t"/>
            <w10:wrap type="none"/>
            <w10:anchorlock/>
          </v:shape>
          <o:OLEObject Type="Embed" ProgID="Equation.DSMT4" ShapeID="_x0000_i1034" DrawAspect="Content" ObjectID="_1468075734" r:id="rId34">
            <o:LockedField>false</o:LockedField>
          </o:OLEObject>
        </w:object>
      </w:r>
      <w:r>
        <w:t>——光谱的波数点总数。</w:t>
      </w:r>
    </w:p>
    <w:bookmarkEnd w:id="141"/>
    <w:p w14:paraId="2E10FB59">
      <w:pPr>
        <w:adjustRightInd/>
        <w:spacing w:line="240" w:lineRule="auto"/>
        <w:jc w:val="center"/>
        <w:rPr>
          <w:szCs w:val="24"/>
        </w:rPr>
      </w:pPr>
    </w:p>
    <w:p w14:paraId="5C874A1D">
      <w:pPr>
        <w:widowControl/>
        <w:adjustRightInd/>
        <w:spacing w:line="240" w:lineRule="auto"/>
        <w:jc w:val="left"/>
        <w:rPr>
          <w:szCs w:val="24"/>
        </w:rPr>
      </w:pPr>
      <w:r>
        <w:rPr>
          <w:szCs w:val="24"/>
        </w:rPr>
        <w:br w:type="page"/>
      </w:r>
    </w:p>
    <w:p w14:paraId="4D3330FF">
      <w:pPr>
        <w:pStyle w:val="79"/>
        <w:spacing w:after="120"/>
        <w:ind w:left="0"/>
      </w:pPr>
    </w:p>
    <w:p w14:paraId="3FEB8725">
      <w:pPr>
        <w:pStyle w:val="79"/>
        <w:numPr>
          <w:ilvl w:val="0"/>
          <w:numId w:val="0"/>
        </w:numPr>
        <w:spacing w:before="0" w:after="0" w:afterLines="0"/>
      </w:pPr>
      <w:r>
        <w:rPr>
          <w:rFonts w:hint="eastAsia"/>
        </w:rPr>
        <w:t>(资料型附录)</w:t>
      </w:r>
    </w:p>
    <w:p w14:paraId="49AC6E7B">
      <w:pPr>
        <w:pStyle w:val="243"/>
        <w:ind w:left="0" w:leftChars="0" w:right="0" w:rightChars="0"/>
        <w:rPr>
          <w:color w:val="auto"/>
        </w:rPr>
      </w:pPr>
      <w:bookmarkStart w:id="143" w:name="OLE_LINK15"/>
      <w:r>
        <w:rPr>
          <w:rFonts w:hint="eastAsia"/>
          <w:color w:val="auto"/>
        </w:rPr>
        <w:t>近红外光谱测定煤质多元校正模型建立实施例</w:t>
      </w:r>
      <w:bookmarkEnd w:id="143"/>
      <w:bookmarkStart w:id="144" w:name="_Hlk193728260"/>
    </w:p>
    <w:p w14:paraId="77174EEE">
      <w:pPr>
        <w:pStyle w:val="81"/>
        <w:spacing w:before="120" w:after="120"/>
        <w:ind w:left="-142"/>
        <w:outlineLvl w:val="9"/>
      </w:pPr>
      <w:bookmarkStart w:id="145" w:name="OLE_LINK44"/>
      <w:r>
        <w:rPr>
          <w:rFonts w:hint="eastAsia"/>
        </w:rPr>
        <w:t>校正模型建立的目的与适用性范围</w:t>
      </w:r>
    </w:p>
    <w:bookmarkEnd w:id="145"/>
    <w:p w14:paraId="543BF007">
      <w:pPr>
        <w:pStyle w:val="245"/>
      </w:pPr>
      <w:r>
        <w:rPr>
          <w:rFonts w:hint="eastAsia"/>
        </w:rPr>
        <w:t>应用傅里叶变换近红外漫反射光谱法检测被测煤样（同一煤种）挥发分、硫含量及发热量，为原料的使用适时提供数据支持。</w:t>
      </w:r>
    </w:p>
    <w:p w14:paraId="1A742838">
      <w:pPr>
        <w:pStyle w:val="81"/>
        <w:spacing w:before="120" w:after="120"/>
        <w:ind w:left="-142"/>
        <w:outlineLvl w:val="9"/>
      </w:pPr>
      <w:bookmarkStart w:id="146" w:name="OLE_LINK39"/>
      <w:r>
        <w:rPr>
          <w:rFonts w:hint="eastAsia"/>
        </w:rPr>
        <w:t>样品收集</w:t>
      </w:r>
    </w:p>
    <w:bookmarkEnd w:id="146"/>
    <w:p w14:paraId="7537A07E">
      <w:pPr>
        <w:pStyle w:val="245"/>
      </w:pPr>
      <w:r>
        <w:rPr>
          <w:rFonts w:hint="eastAsia"/>
          <w:lang w:val="en-US" w:eastAsia="zh-CN"/>
        </w:rPr>
        <w:t>本标准按照煤炭矿点所收集的煤样挥发分（</w:t>
      </w:r>
      <m:oMath>
        <m:sSub>
          <m:sSubPr>
            <m:ctrlPr>
              <w:rPr>
                <w:rFonts w:hint="eastAsia" w:ascii="Cambria Math" w:hAnsi="Cambria Math"/>
                <w:lang w:val="en-US"/>
              </w:rPr>
            </m:ctrlPr>
          </m:sSubPr>
          <m:e>
            <m:r>
              <m:rPr>
                <m:sty m:val="p"/>
              </m:rPr>
              <w:rPr>
                <w:rFonts w:hint="eastAsia" w:ascii="Cambria Math" w:hAnsi="Cambria Math"/>
                <w:lang w:val="en-US" w:eastAsia="zh-CN"/>
              </w:rPr>
              <m:t>V</m:t>
            </m:r>
            <m:ctrlPr>
              <w:rPr>
                <w:rFonts w:hint="eastAsia" w:ascii="Cambria Math" w:hAnsi="Cambria Math"/>
                <w:lang w:val="en-US"/>
              </w:rPr>
            </m:ctrlPr>
          </m:e>
          <m:sub>
            <m:r>
              <m:rPr>
                <m:sty m:val="p"/>
              </m:rPr>
              <w:rPr>
                <w:rFonts w:hint="eastAsia" w:ascii="Cambria Math" w:hAnsi="Cambria Math"/>
                <w:lang w:val="en-US" w:eastAsia="zh-CN"/>
              </w:rPr>
              <m:t>ad</m:t>
            </m:r>
            <m:ctrlPr>
              <w:rPr>
                <w:rFonts w:hint="eastAsia" w:ascii="Cambria Math" w:hAnsi="Cambria Math"/>
                <w:lang w:val="en-US"/>
              </w:rPr>
            </m:ctrlPr>
          </m:sub>
        </m:sSub>
      </m:oMath>
      <w:r>
        <w:rPr>
          <w:rFonts w:hint="eastAsia"/>
          <w:lang w:val="en-US" w:eastAsia="zh-CN"/>
        </w:rPr>
        <w:t>）测定范围在18%～37%，</w:t>
      </w:r>
      <w:bookmarkStart w:id="147" w:name="OLE_LINK96"/>
      <w:r>
        <w:rPr>
          <w:rFonts w:hint="eastAsia"/>
          <w:lang w:val="en-US" w:eastAsia="zh-CN"/>
        </w:rPr>
        <w:t>全硫（</w:t>
      </w:r>
      <m:oMath>
        <m:sSub>
          <m:sSubPr>
            <m:ctrlPr>
              <w:rPr>
                <w:rFonts w:hint="eastAsia" w:ascii="Cambria Math" w:hAnsi="Cambria Math"/>
                <w:lang w:val="en-US"/>
              </w:rPr>
            </m:ctrlPr>
          </m:sSubPr>
          <m:e>
            <m:r>
              <m:rPr>
                <m:sty m:val="p"/>
              </m:rPr>
              <w:rPr>
                <w:rFonts w:hint="eastAsia" w:ascii="Cambria Math" w:hAnsi="Cambria Math"/>
                <w:lang w:val="en-US" w:eastAsia="zh-CN"/>
              </w:rPr>
              <m:t>S</m:t>
            </m:r>
            <m:ctrlPr>
              <w:rPr>
                <w:rFonts w:hint="eastAsia" w:ascii="Cambria Math" w:hAnsi="Cambria Math"/>
                <w:lang w:val="en-US"/>
              </w:rPr>
            </m:ctrlPr>
          </m:e>
          <m:sub>
            <m:r>
              <m:rPr>
                <m:sty m:val="p"/>
              </m:rPr>
              <w:rPr>
                <w:rFonts w:hint="eastAsia" w:ascii="Cambria Math" w:hAnsi="Cambria Math"/>
                <w:lang w:val="en-US" w:eastAsia="zh-CN"/>
              </w:rPr>
              <m:t>t,ad</m:t>
            </m:r>
            <m:ctrlPr>
              <w:rPr>
                <w:rFonts w:hint="eastAsia" w:ascii="Cambria Math" w:hAnsi="Cambria Math"/>
                <w:lang w:val="en-US"/>
              </w:rPr>
            </m:ctrlPr>
          </m:sub>
        </m:sSub>
      </m:oMath>
      <w:r>
        <w:rPr>
          <w:rFonts w:hint="eastAsia"/>
          <w:lang w:val="en-US" w:eastAsia="zh-CN"/>
        </w:rPr>
        <w:t>）测定范围在0.20%~3.50%，发热量（</w:t>
      </w:r>
      <m:oMath>
        <m:sSub>
          <m:sSubPr>
            <m:ctrlPr>
              <w:rPr>
                <w:rFonts w:hint="eastAsia" w:ascii="Cambria Math" w:hAnsi="Cambria Math"/>
                <w:lang w:val="en-US"/>
              </w:rPr>
            </m:ctrlPr>
          </m:sSubPr>
          <m:e>
            <m:r>
              <m:rPr>
                <m:sty m:val="p"/>
              </m:rPr>
              <w:rPr>
                <w:rFonts w:hint="eastAsia" w:ascii="Cambria Math" w:hAnsi="Cambria Math"/>
                <w:lang w:val="en-US" w:eastAsia="zh-CN"/>
              </w:rPr>
              <m:t>Q</m:t>
            </m:r>
            <m:ctrlPr>
              <w:rPr>
                <w:rFonts w:hint="eastAsia" w:ascii="Cambria Math" w:hAnsi="Cambria Math"/>
                <w:lang w:val="en-US"/>
              </w:rPr>
            </m:ctrlPr>
          </m:e>
          <m:sub>
            <m:r>
              <m:rPr>
                <m:sty m:val="p"/>
              </m:rPr>
              <w:rPr>
                <w:rFonts w:hint="eastAsia" w:ascii="Cambria Math" w:hAnsi="Cambria Math"/>
                <w:lang w:val="en-US" w:eastAsia="zh-CN"/>
              </w:rPr>
              <m:t>gr,ad</m:t>
            </m:r>
            <m:ctrlPr>
              <w:rPr>
                <w:rFonts w:hint="eastAsia" w:ascii="Cambria Math" w:hAnsi="Cambria Math"/>
                <w:lang w:val="en-US"/>
              </w:rPr>
            </m:ctrlPr>
          </m:sub>
        </m:sSub>
      </m:oMath>
      <w:r>
        <w:rPr>
          <w:rFonts w:hint="eastAsia"/>
          <w:lang w:val="en-US" w:eastAsia="zh-CN"/>
        </w:rPr>
        <w:t>）</w:t>
      </w:r>
      <w:bookmarkEnd w:id="147"/>
      <w:r>
        <w:rPr>
          <w:rFonts w:hint="eastAsia"/>
          <w:lang w:val="en-US" w:eastAsia="zh-CN"/>
        </w:rPr>
        <w:t>的测定范围在17 MJ/kg～33MJ/kg的煤样。所制备的样品粒度为-0.2 mm，参考值采用标准方法GB/T 212-2008《煤的工业分析方法》、GB/T 213-2008《煤的发热量测定方法》和GB/T 214-2017《煤中全硫的测定方法》进行测定，共收集校正样品集536条数据，验证样品集134条数据。根据为了保证检测结果的准确度，尽量通过模型内插预测煤质信息。</w:t>
      </w:r>
    </w:p>
    <w:p w14:paraId="7214EBCB">
      <w:pPr>
        <w:pStyle w:val="81"/>
        <w:spacing w:before="120" w:after="120"/>
        <w:ind w:left="-142"/>
        <w:outlineLvl w:val="9"/>
      </w:pPr>
      <w:r>
        <w:rPr>
          <w:rFonts w:hint="eastAsia"/>
        </w:rPr>
        <w:t>数据划分</w:t>
      </w:r>
    </w:p>
    <w:p w14:paraId="27A6CBD9">
      <w:pPr>
        <w:pStyle w:val="245"/>
      </w:pPr>
      <w:r>
        <w:rPr>
          <w:rFonts w:hint="eastAsia"/>
        </w:rPr>
        <w:t>将</w:t>
      </w:r>
      <w:r>
        <w:rPr>
          <w:rFonts w:hint="eastAsia"/>
          <w:lang w:val="en-US" w:eastAsia="zh-CN"/>
        </w:rPr>
        <w:t>670</w:t>
      </w:r>
      <w:r>
        <w:rPr>
          <w:rFonts w:hint="eastAsia"/>
        </w:rPr>
        <w:t>个样品数据划分为预测数据集和验证数据集。预测数据集用于校正模型建立，验证数据集用于校正模型的验证。校正模型数据和验证模型数据的成分含量尽量覆盖全范围，校正模型数据5</w:t>
      </w:r>
      <w:r>
        <w:rPr>
          <w:rFonts w:hint="eastAsia"/>
          <w:lang w:val="en-US" w:eastAsia="zh-CN"/>
        </w:rPr>
        <w:t>36</w:t>
      </w:r>
      <w:r>
        <w:rPr>
          <w:rFonts w:hint="eastAsia"/>
        </w:rPr>
        <w:t>个，验证模型数据134个。</w:t>
      </w:r>
    </w:p>
    <w:p w14:paraId="44E71C79">
      <w:pPr>
        <w:pStyle w:val="81"/>
        <w:spacing w:before="120" w:after="120"/>
        <w:ind w:left="-142"/>
        <w:outlineLvl w:val="9"/>
      </w:pPr>
      <w:r>
        <w:rPr>
          <w:rFonts w:hint="eastAsia"/>
        </w:rPr>
        <w:t>异常值剔除</w:t>
      </w:r>
    </w:p>
    <w:p w14:paraId="713C2339">
      <w:pPr>
        <w:pStyle w:val="245"/>
      </w:pPr>
      <w:r>
        <w:rPr>
          <w:rFonts w:hint="eastAsia"/>
        </w:rPr>
        <w:t>为保证校正模型预测的精确度，本示例采用欧氏距离法对异常值进行识别并剔除。</w:t>
      </w:r>
    </w:p>
    <w:p w14:paraId="2B2036AC">
      <w:pPr>
        <w:pStyle w:val="81"/>
        <w:spacing w:before="120" w:after="120"/>
        <w:ind w:left="-142"/>
        <w:outlineLvl w:val="9"/>
      </w:pPr>
      <w:r>
        <w:rPr>
          <w:rFonts w:hint="eastAsia"/>
        </w:rPr>
        <w:t>数据处理</w:t>
      </w:r>
    </w:p>
    <w:p w14:paraId="0DDE2CCB">
      <w:pPr>
        <w:pStyle w:val="245"/>
      </w:pPr>
      <w:r>
        <w:rPr>
          <w:rFonts w:hint="eastAsia"/>
        </w:rPr>
        <w:t>本示例利用标准正态（SNV）对光谱数据进行处理，以消除煤样颗粒不均导致的光谱数据噪声。</w:t>
      </w:r>
    </w:p>
    <w:p w14:paraId="1F692617">
      <w:pPr>
        <w:pStyle w:val="81"/>
        <w:spacing w:before="120" w:after="120"/>
        <w:ind w:left="-142"/>
        <w:outlineLvl w:val="9"/>
      </w:pPr>
      <w:bookmarkStart w:id="148" w:name="OLE_LINK43"/>
      <w:r>
        <w:rPr>
          <w:rFonts w:hint="eastAsia"/>
        </w:rPr>
        <w:t>校正模型的建立与验证</w:t>
      </w:r>
    </w:p>
    <w:bookmarkEnd w:id="148"/>
    <w:p w14:paraId="1FE6F8A1">
      <w:pPr>
        <w:pStyle w:val="245"/>
      </w:pPr>
      <w:r>
        <w:t>使用基于U-Net架构的深度学习网络进行NIRS分析。如图</w:t>
      </w:r>
      <w:r>
        <w:rPr>
          <w:rFonts w:hint="eastAsia"/>
        </w:rPr>
        <w:t>C</w:t>
      </w:r>
      <w:r>
        <w:t>.1所示，</w:t>
      </w:r>
      <w:r>
        <w:rPr>
          <w:rFonts w:hint="eastAsia"/>
        </w:rPr>
        <w:t>该模型由权重参数共享模块和多任务输出模块组成，共享特征提取模块基于U-Net架构，包含编码路径和解码路径：编码路径通过卷积层和最大池化层逐步提取高层次特征，每次卷积后使用ReLU激活函数进行非线性变换，增强特征表达能力；解码路径则利用转置卷积进行上采样，逐步恢复特征图的空间维度，并通过跳跃连接融合不同层次的特征信息，避免下采样过程中细节信息的丢失。在跳跃连接时，引入CBAM注意力机制，使网络能够专注于浅层输入中的特定波长信息，增强特征的表征能力。另外，在解码路径上加入了两个跳跃连接，通过转置卷积上采样后与最后一层的特征图进行拼接。具体而言，解码路径最后一步的特征图由四部分组成：预处理后的光谱数据经两次卷积和CBAM模块输出；第四步解码路径下转置卷积上采样输出；第二步和第三步解码路径输出特征图分别经转置卷积后得到的两部分。多任务输出模块由四个独立的多层感知机组成，每个任务具有不同的全连接权重参数，对不同的任务分别训练回归器，并行输出挥发分、硫和发热量测定值。</w:t>
      </w:r>
    </w:p>
    <w:p w14:paraId="7ADCFBC5">
      <w:pPr>
        <w:pStyle w:val="239"/>
        <w:ind w:firstLine="0" w:firstLineChars="0"/>
        <w:jc w:val="center"/>
      </w:pPr>
      <w:r>
        <w:drawing>
          <wp:inline distT="0" distB="0" distL="0" distR="0">
            <wp:extent cx="3728720" cy="1884680"/>
            <wp:effectExtent l="0" t="0" r="5080" b="1270"/>
            <wp:docPr id="206913624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136249" name="图片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3740520" cy="1890676"/>
                    </a:xfrm>
                    <a:prstGeom prst="rect">
                      <a:avLst/>
                    </a:prstGeom>
                    <a:noFill/>
                    <a:ln>
                      <a:noFill/>
                    </a:ln>
                  </pic:spPr>
                </pic:pic>
              </a:graphicData>
            </a:graphic>
          </wp:inline>
        </w:drawing>
      </w:r>
    </w:p>
    <w:p w14:paraId="0AB3B91E">
      <w:pPr>
        <w:pStyle w:val="239"/>
        <w:ind w:firstLine="0" w:firstLineChars="0"/>
        <w:jc w:val="center"/>
      </w:pPr>
      <w:r>
        <w:t>图</w:t>
      </w:r>
      <w:r>
        <w:rPr>
          <w:rFonts w:hint="eastAsia"/>
        </w:rPr>
        <w:t>C</w:t>
      </w:r>
      <w:r>
        <w:t>.1 基于U-Net架构的深度学习模型示意图</w:t>
      </w:r>
    </w:p>
    <w:p w14:paraId="2BD173D0">
      <w:pPr>
        <w:pStyle w:val="81"/>
        <w:spacing w:before="120" w:after="120"/>
        <w:ind w:left="-142"/>
        <w:outlineLvl w:val="9"/>
      </w:pPr>
      <w:r>
        <w:rPr>
          <w:rFonts w:hint="eastAsia"/>
        </w:rPr>
        <w:t>模型参数设置</w:t>
      </w:r>
    </w:p>
    <w:p w14:paraId="1D54CA15">
      <w:pPr>
        <w:pStyle w:val="245"/>
      </w:pPr>
      <w:r>
        <w:t>初始学习率设置为0.001，并采用ReduceLROnPlateau学习率衰减策略，使用剩余20%样本的损失值动态调整学习率。每步训练输入至网络中的批量大小设置为</w:t>
      </w:r>
      <w:r>
        <w:rPr>
          <w:rFonts w:hint="eastAsia"/>
        </w:rPr>
        <w:t>32</w:t>
      </w:r>
      <w:r>
        <w:t>，最大迭代轮数设置为</w:t>
      </w:r>
      <w:r>
        <w:rPr>
          <w:rFonts w:hint="eastAsia"/>
        </w:rPr>
        <w:t>100</w:t>
      </w:r>
      <w:r>
        <w:t>。</w:t>
      </w:r>
    </w:p>
    <w:p w14:paraId="58D94119">
      <w:pPr>
        <w:pStyle w:val="81"/>
        <w:spacing w:before="120" w:after="120"/>
        <w:ind w:left="-142"/>
        <w:outlineLvl w:val="9"/>
      </w:pPr>
      <w:r>
        <w:rPr>
          <w:rFonts w:hint="eastAsia"/>
        </w:rPr>
        <w:t>模型性能评估</w:t>
      </w:r>
    </w:p>
    <w:p w14:paraId="21A34223">
      <w:pPr>
        <w:pStyle w:val="245"/>
      </w:pPr>
      <w:bookmarkStart w:id="149" w:name="_Hlk193825199"/>
      <w:r>
        <w:rPr>
          <w:rFonts w:hint="eastAsia"/>
        </w:rPr>
        <w:t>本示例采用8.3模型预测精度评价指标作为测定值和参考值的准确性指标</w:t>
      </w:r>
      <w:bookmarkEnd w:id="149"/>
      <w:r>
        <w:rPr>
          <w:rFonts w:hint="eastAsia"/>
        </w:rPr>
        <w:t>。</w:t>
      </w:r>
    </w:p>
    <w:p w14:paraId="0F2CFB54">
      <w:pPr>
        <w:pStyle w:val="59"/>
        <w:ind w:firstLine="420"/>
      </w:pPr>
      <w:bookmarkStart w:id="150" w:name="OLE_LINK79"/>
      <w:r>
        <w:rPr>
          <w:rFonts w:hint="eastAsia" w:ascii="Times New Roman"/>
        </w:rPr>
        <w:t>该模型具体的模型评价指标见表C.1。</w:t>
      </w:r>
    </w:p>
    <w:bookmarkEnd w:id="150"/>
    <w:p w14:paraId="4BB28B59">
      <w:pPr>
        <w:pStyle w:val="59"/>
        <w:ind w:firstLine="0" w:firstLineChars="0"/>
        <w:jc w:val="center"/>
        <w:rPr>
          <w:rFonts w:ascii="Times New Roman"/>
        </w:rPr>
      </w:pPr>
      <w:r>
        <w:rPr>
          <w:rFonts w:hint="eastAsia" w:ascii="Times New Roman"/>
        </w:rPr>
        <w:t>表C.1 校正模型性能指标</w:t>
      </w:r>
    </w:p>
    <w:bookmarkEnd w:id="144"/>
    <w:tbl>
      <w:tblPr>
        <w:tblStyle w:val="28"/>
        <w:tblW w:w="74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44"/>
        <w:gridCol w:w="1108"/>
        <w:gridCol w:w="1551"/>
        <w:gridCol w:w="1375"/>
        <w:gridCol w:w="1550"/>
      </w:tblGrid>
      <w:tr w14:paraId="21611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44" w:type="dxa"/>
          </w:tcPr>
          <w:p w14:paraId="1B98BA43">
            <w:pPr>
              <w:widowControl/>
              <w:autoSpaceDE w:val="0"/>
              <w:autoSpaceDN w:val="0"/>
              <w:adjustRightInd/>
              <w:spacing w:line="240" w:lineRule="auto"/>
              <w:jc w:val="center"/>
              <w:rPr>
                <w:rFonts w:ascii="Times New Roman" w:hAnsi="Times New Roman" w:cs="宋体"/>
                <w:kern w:val="0"/>
              </w:rPr>
            </w:pPr>
            <w:r>
              <w:rPr>
                <w:rFonts w:hint="eastAsia" w:ascii="Times New Roman" w:hAnsi="Times New Roman" w:cs="宋体"/>
                <w:kern w:val="0"/>
              </w:rPr>
              <w:t>项目</w:t>
            </w:r>
          </w:p>
        </w:tc>
        <w:tc>
          <w:tcPr>
            <w:tcW w:w="1108" w:type="dxa"/>
          </w:tcPr>
          <w:p w14:paraId="4D2E6984">
            <w:pPr>
              <w:widowControl/>
              <w:autoSpaceDE w:val="0"/>
              <w:autoSpaceDN w:val="0"/>
              <w:adjustRightInd/>
              <w:spacing w:line="240" w:lineRule="auto"/>
              <w:jc w:val="center"/>
              <w:rPr>
                <w:rFonts w:ascii="Times New Roman" w:hAnsi="Times New Roman" w:cs="宋体"/>
                <w:kern w:val="0"/>
              </w:rPr>
            </w:pPr>
            <w:r>
              <w:rPr>
                <w:rFonts w:hint="eastAsia" w:ascii="Times New Roman" w:hAnsi="Times New Roman" w:cs="宋体"/>
                <w:kern w:val="0"/>
              </w:rPr>
              <w:t>单位</w:t>
            </w:r>
          </w:p>
        </w:tc>
        <w:tc>
          <w:tcPr>
            <w:tcW w:w="1551" w:type="dxa"/>
          </w:tcPr>
          <w:p w14:paraId="0892CA3E">
            <w:pPr>
              <w:widowControl/>
              <w:autoSpaceDE w:val="0"/>
              <w:autoSpaceDN w:val="0"/>
              <w:adjustRightInd/>
              <w:spacing w:line="240" w:lineRule="auto"/>
              <w:jc w:val="center"/>
              <w:rPr>
                <w:rFonts w:ascii="Times New Roman" w:hAnsi="Times New Roman" w:cs="宋体"/>
                <w:color w:val="000000"/>
                <w:kern w:val="0"/>
              </w:rPr>
            </w:pPr>
            <w:r>
              <w:rPr>
                <w:rFonts w:hint="eastAsia" w:ascii="Times New Roman" w:hAnsi="Times New Roman" w:cs="宋体"/>
                <w:color w:val="000000"/>
                <w:kern w:val="0"/>
              </w:rPr>
              <w:t>覆盖范围</w:t>
            </w:r>
          </w:p>
        </w:tc>
        <w:tc>
          <w:tcPr>
            <w:tcW w:w="1375" w:type="dxa"/>
          </w:tcPr>
          <w:p w14:paraId="02656579">
            <w:pPr>
              <w:widowControl/>
              <w:autoSpaceDE w:val="0"/>
              <w:autoSpaceDN w:val="0"/>
              <w:adjustRightInd/>
              <w:spacing w:line="240" w:lineRule="auto"/>
              <w:jc w:val="center"/>
              <w:rPr>
                <w:rFonts w:ascii="Times New Roman" w:hAnsi="Times New Roman" w:cs="宋体"/>
                <w:color w:val="000000"/>
                <w:kern w:val="0"/>
              </w:rPr>
            </w:pPr>
            <w:r>
              <w:rPr>
                <w:rFonts w:hint="eastAsia" w:ascii="Times New Roman" w:hAnsi="Times New Roman" w:cs="宋体"/>
                <w:color w:val="000000"/>
                <w:kern w:val="0"/>
              </w:rPr>
              <w:t>R</w:t>
            </w:r>
            <w:r>
              <w:rPr>
                <w:rFonts w:hint="eastAsia" w:ascii="Times New Roman" w:hAnsi="Times New Roman" w:cs="宋体"/>
                <w:color w:val="000000"/>
                <w:kern w:val="0"/>
                <w:vertAlign w:val="superscript"/>
              </w:rPr>
              <w:t>2</w:t>
            </w:r>
          </w:p>
        </w:tc>
        <w:tc>
          <w:tcPr>
            <w:tcW w:w="1550" w:type="dxa"/>
          </w:tcPr>
          <w:p w14:paraId="06F2883C">
            <w:pPr>
              <w:widowControl/>
              <w:autoSpaceDE w:val="0"/>
              <w:autoSpaceDN w:val="0"/>
              <w:adjustRightInd/>
              <w:spacing w:line="240" w:lineRule="auto"/>
              <w:jc w:val="center"/>
              <w:rPr>
                <w:rFonts w:ascii="Times New Roman" w:hAnsi="Times New Roman" w:cs="宋体"/>
                <w:color w:val="000000"/>
                <w:kern w:val="0"/>
              </w:rPr>
            </w:pPr>
            <w:r>
              <w:rPr>
                <w:rFonts w:hint="eastAsia" w:ascii="Times New Roman" w:hAnsi="Times New Roman" w:cs="宋体"/>
                <w:color w:val="000000"/>
                <w:kern w:val="0"/>
              </w:rPr>
              <w:t>SEP</w:t>
            </w:r>
          </w:p>
        </w:tc>
      </w:tr>
      <w:tr w14:paraId="0CD66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44" w:type="dxa"/>
            <w:shd w:val="clear" w:color="auto" w:fill="auto"/>
            <w:vAlign w:val="center"/>
          </w:tcPr>
          <w:p w14:paraId="25EB1166">
            <w:pPr>
              <w:adjustRightInd/>
              <w:spacing w:line="240" w:lineRule="auto"/>
              <w:jc w:val="center"/>
              <w:rPr>
                <w:rFonts w:ascii="Times New Roman" w:hAnsi="Times New Roman"/>
              </w:rPr>
            </w:pPr>
            <w:r>
              <w:rPr>
                <w:rFonts w:hint="eastAsia" w:ascii="Times New Roman" w:hAnsi="Times New Roman"/>
              </w:rPr>
              <w:t>挥发分（</w:t>
            </w:r>
            <w:r>
              <w:rPr>
                <w:rFonts w:ascii="Times New Roman" w:hAnsi="Times New Roman"/>
              </w:rPr>
              <w:t>V</w:t>
            </w:r>
            <w:r>
              <w:rPr>
                <w:rFonts w:ascii="Times New Roman" w:hAnsi="Times New Roman"/>
                <w:vertAlign w:val="subscript"/>
              </w:rPr>
              <w:t>ad</w:t>
            </w:r>
            <w:r>
              <w:rPr>
                <w:rFonts w:hint="eastAsia" w:ascii="Times New Roman" w:hAnsi="Times New Roman"/>
              </w:rPr>
              <w:t>）</w:t>
            </w:r>
          </w:p>
        </w:tc>
        <w:tc>
          <w:tcPr>
            <w:tcW w:w="1108" w:type="dxa"/>
            <w:shd w:val="clear" w:color="auto" w:fill="auto"/>
            <w:vAlign w:val="center"/>
          </w:tcPr>
          <w:p w14:paraId="460734F5">
            <w:pPr>
              <w:adjustRightInd/>
              <w:spacing w:line="240" w:lineRule="auto"/>
              <w:jc w:val="center"/>
              <w:rPr>
                <w:rFonts w:ascii="Times New Roman" w:hAnsi="Times New Roman"/>
              </w:rPr>
            </w:pPr>
            <w:r>
              <w:rPr>
                <w:rFonts w:ascii="Times New Roman" w:hAnsi="Times New Roman"/>
                <w:color w:val="000000"/>
                <w:spacing w:val="-2"/>
                <w:szCs w:val="24"/>
              </w:rPr>
              <w:t>%</w:t>
            </w:r>
          </w:p>
        </w:tc>
        <w:tc>
          <w:tcPr>
            <w:tcW w:w="1551" w:type="dxa"/>
          </w:tcPr>
          <w:p w14:paraId="1D87745C">
            <w:pPr>
              <w:widowControl/>
              <w:autoSpaceDE w:val="0"/>
              <w:autoSpaceDN w:val="0"/>
              <w:adjustRightInd/>
              <w:spacing w:line="240" w:lineRule="auto"/>
              <w:jc w:val="center"/>
              <w:rPr>
                <w:rFonts w:ascii="Times New Roman" w:hAnsi="Times New Roman"/>
                <w:color w:val="000000"/>
                <w:spacing w:val="-1"/>
                <w:szCs w:val="24"/>
              </w:rPr>
            </w:pPr>
            <w:r>
              <w:rPr>
                <w:rFonts w:ascii="Times New Roman" w:hAnsi="Times New Roman"/>
                <w:kern w:val="0"/>
                <w:szCs w:val="20"/>
              </w:rPr>
              <w:t>18</w:t>
            </w:r>
            <w:r>
              <w:rPr>
                <w:rFonts w:hint="eastAsia" w:ascii="Times New Roman" w:hAnsi="Times New Roman"/>
                <w:kern w:val="0"/>
                <w:szCs w:val="20"/>
              </w:rPr>
              <w:t>.60</w:t>
            </w:r>
            <w:r>
              <w:rPr>
                <w:rFonts w:ascii="Times New Roman" w:hAnsi="Times New Roman"/>
                <w:kern w:val="0"/>
                <w:szCs w:val="20"/>
              </w:rPr>
              <w:t>～3</w:t>
            </w:r>
            <w:r>
              <w:rPr>
                <w:rFonts w:hint="eastAsia" w:ascii="Times New Roman" w:hAnsi="Times New Roman"/>
                <w:kern w:val="0"/>
                <w:szCs w:val="20"/>
              </w:rPr>
              <w:t>6.66</w:t>
            </w:r>
          </w:p>
        </w:tc>
        <w:tc>
          <w:tcPr>
            <w:tcW w:w="1375" w:type="dxa"/>
          </w:tcPr>
          <w:p w14:paraId="7087A504">
            <w:pPr>
              <w:widowControl/>
              <w:autoSpaceDE w:val="0"/>
              <w:autoSpaceDN w:val="0"/>
              <w:adjustRightInd/>
              <w:spacing w:line="240" w:lineRule="auto"/>
              <w:jc w:val="center"/>
              <w:rPr>
                <w:rFonts w:ascii="Times New Roman" w:hAnsi="Times New Roman"/>
                <w:color w:val="000000"/>
                <w:spacing w:val="-1"/>
                <w:szCs w:val="24"/>
              </w:rPr>
            </w:pPr>
            <w:r>
              <w:rPr>
                <w:rFonts w:hint="eastAsia" w:ascii="Times New Roman" w:hAnsi="Times New Roman"/>
                <w:color w:val="000000"/>
                <w:spacing w:val="-1"/>
                <w:szCs w:val="24"/>
              </w:rPr>
              <w:t>0.86</w:t>
            </w:r>
          </w:p>
        </w:tc>
        <w:tc>
          <w:tcPr>
            <w:tcW w:w="1550" w:type="dxa"/>
          </w:tcPr>
          <w:p w14:paraId="1ED2821E">
            <w:pPr>
              <w:widowControl/>
              <w:autoSpaceDE w:val="0"/>
              <w:autoSpaceDN w:val="0"/>
              <w:adjustRightInd/>
              <w:spacing w:line="240" w:lineRule="auto"/>
              <w:jc w:val="center"/>
              <w:rPr>
                <w:rFonts w:ascii="Times New Roman" w:hAnsi="Times New Roman"/>
                <w:color w:val="000000"/>
                <w:spacing w:val="-1"/>
                <w:szCs w:val="24"/>
              </w:rPr>
            </w:pPr>
            <w:r>
              <w:rPr>
                <w:rFonts w:hint="eastAsia" w:ascii="Times New Roman" w:hAnsi="Times New Roman"/>
                <w:color w:val="000000"/>
                <w:spacing w:val="-1"/>
                <w:szCs w:val="24"/>
              </w:rPr>
              <w:t>1.02</w:t>
            </w:r>
          </w:p>
        </w:tc>
      </w:tr>
      <w:tr w14:paraId="241C0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44" w:type="dxa"/>
            <w:shd w:val="clear" w:color="auto" w:fill="auto"/>
            <w:vAlign w:val="center"/>
          </w:tcPr>
          <w:p w14:paraId="19812B1E">
            <w:pPr>
              <w:adjustRightInd/>
              <w:spacing w:line="240" w:lineRule="auto"/>
              <w:jc w:val="center"/>
              <w:rPr>
                <w:rFonts w:ascii="Times New Roman" w:hAnsi="Times New Roman"/>
              </w:rPr>
            </w:pPr>
            <w:r>
              <w:rPr>
                <w:rFonts w:hint="eastAsia" w:ascii="Times New Roman" w:hAnsi="Times New Roman"/>
              </w:rPr>
              <w:t>全硫</w:t>
            </w:r>
            <w:r>
              <w:rPr>
                <w:rFonts w:hint="eastAsia"/>
                <w:lang w:val="en-US" w:eastAsia="zh-CN"/>
              </w:rPr>
              <w:t>（</w:t>
            </w:r>
            <m:oMath>
              <m:sSub>
                <m:sSubPr>
                  <m:ctrlPr>
                    <w:rPr>
                      <w:rFonts w:hint="eastAsia" w:ascii="Cambria Math" w:hAnsi="Cambria Math"/>
                      <w:lang w:val="en-US"/>
                    </w:rPr>
                  </m:ctrlPr>
                </m:sSubPr>
                <m:e>
                  <m:r>
                    <m:rPr>
                      <m:sty m:val="p"/>
                    </m:rPr>
                    <w:rPr>
                      <w:rFonts w:hint="eastAsia" w:ascii="Cambria Math" w:hAnsi="Cambria Math"/>
                      <w:lang w:val="en-US" w:eastAsia="zh-CN"/>
                    </w:rPr>
                    <m:t>S</m:t>
                  </m:r>
                  <m:ctrlPr>
                    <w:rPr>
                      <w:rFonts w:hint="eastAsia" w:ascii="Cambria Math" w:hAnsi="Cambria Math"/>
                      <w:lang w:val="en-US"/>
                    </w:rPr>
                  </m:ctrlPr>
                </m:e>
                <m:sub>
                  <m:r>
                    <m:rPr>
                      <m:sty m:val="p"/>
                    </m:rPr>
                    <w:rPr>
                      <w:rFonts w:hint="eastAsia" w:ascii="Cambria Math" w:hAnsi="Cambria Math"/>
                      <w:lang w:val="en-US" w:eastAsia="zh-CN"/>
                    </w:rPr>
                    <m:t>t,ad</m:t>
                  </m:r>
                  <m:ctrlPr>
                    <w:rPr>
                      <w:rFonts w:hint="eastAsia" w:ascii="Cambria Math" w:hAnsi="Cambria Math"/>
                      <w:lang w:val="en-US"/>
                    </w:rPr>
                  </m:ctrlPr>
                </m:sub>
              </m:sSub>
            </m:oMath>
            <w:r>
              <w:rPr>
                <w:rFonts w:hint="eastAsia"/>
                <w:lang w:val="en-US" w:eastAsia="zh-CN"/>
              </w:rPr>
              <w:t>）</w:t>
            </w:r>
          </w:p>
        </w:tc>
        <w:tc>
          <w:tcPr>
            <w:tcW w:w="1108" w:type="dxa"/>
            <w:shd w:val="clear" w:color="auto" w:fill="auto"/>
            <w:vAlign w:val="center"/>
          </w:tcPr>
          <w:p w14:paraId="0B5FE3A9">
            <w:pPr>
              <w:adjustRightInd/>
              <w:spacing w:line="240" w:lineRule="auto"/>
              <w:jc w:val="center"/>
              <w:rPr>
                <w:rFonts w:ascii="Times New Roman" w:hAnsi="Times New Roman"/>
              </w:rPr>
            </w:pPr>
            <w:r>
              <w:rPr>
                <w:rFonts w:hint="eastAsia" w:ascii="Times New Roman" w:hAnsi="Times New Roman"/>
              </w:rPr>
              <w:t>%</w:t>
            </w:r>
          </w:p>
        </w:tc>
        <w:tc>
          <w:tcPr>
            <w:tcW w:w="1551" w:type="dxa"/>
          </w:tcPr>
          <w:p w14:paraId="78AD81FD">
            <w:pPr>
              <w:widowControl/>
              <w:autoSpaceDE w:val="0"/>
              <w:autoSpaceDN w:val="0"/>
              <w:adjustRightInd/>
              <w:spacing w:line="240" w:lineRule="auto"/>
              <w:jc w:val="center"/>
              <w:rPr>
                <w:rFonts w:ascii="Times New Roman" w:hAnsi="Times New Roman"/>
                <w:kern w:val="0"/>
              </w:rPr>
            </w:pPr>
            <w:r>
              <w:rPr>
                <w:rFonts w:hint="eastAsia" w:ascii="Times New Roman" w:hAnsi="Times New Roman"/>
                <w:kern w:val="0"/>
              </w:rPr>
              <w:t>0.25~3.43</w:t>
            </w:r>
          </w:p>
        </w:tc>
        <w:tc>
          <w:tcPr>
            <w:tcW w:w="1375" w:type="dxa"/>
          </w:tcPr>
          <w:p w14:paraId="3360BE92">
            <w:pPr>
              <w:widowControl/>
              <w:autoSpaceDE w:val="0"/>
              <w:autoSpaceDN w:val="0"/>
              <w:adjustRightInd/>
              <w:spacing w:line="240" w:lineRule="auto"/>
              <w:jc w:val="center"/>
              <w:rPr>
                <w:rFonts w:ascii="Times New Roman" w:hAnsi="Times New Roman"/>
                <w:kern w:val="0"/>
              </w:rPr>
            </w:pPr>
            <w:r>
              <w:rPr>
                <w:rFonts w:hint="eastAsia" w:ascii="Times New Roman" w:hAnsi="Times New Roman"/>
                <w:kern w:val="0"/>
              </w:rPr>
              <w:t>0.93</w:t>
            </w:r>
          </w:p>
        </w:tc>
        <w:tc>
          <w:tcPr>
            <w:tcW w:w="1550" w:type="dxa"/>
          </w:tcPr>
          <w:p w14:paraId="217BC407">
            <w:pPr>
              <w:widowControl/>
              <w:autoSpaceDE w:val="0"/>
              <w:autoSpaceDN w:val="0"/>
              <w:adjustRightInd/>
              <w:spacing w:line="240" w:lineRule="auto"/>
              <w:jc w:val="center"/>
              <w:rPr>
                <w:rFonts w:ascii="Times New Roman" w:hAnsi="Times New Roman"/>
                <w:kern w:val="0"/>
              </w:rPr>
            </w:pPr>
            <w:r>
              <w:rPr>
                <w:rFonts w:hint="eastAsia" w:ascii="Times New Roman" w:hAnsi="Times New Roman"/>
                <w:kern w:val="0"/>
              </w:rPr>
              <w:t>0.25</w:t>
            </w:r>
          </w:p>
        </w:tc>
      </w:tr>
      <w:tr w14:paraId="13AEC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44" w:type="dxa"/>
            <w:shd w:val="clear" w:color="auto" w:fill="auto"/>
            <w:vAlign w:val="center"/>
          </w:tcPr>
          <w:p w14:paraId="61D179F1">
            <w:pPr>
              <w:adjustRightInd/>
              <w:spacing w:line="240" w:lineRule="auto"/>
              <w:jc w:val="center"/>
              <w:rPr>
                <w:rFonts w:ascii="Times New Roman" w:hAnsi="Times New Roman"/>
              </w:rPr>
            </w:pPr>
            <w:r>
              <w:rPr>
                <w:rFonts w:hint="eastAsia" w:ascii="Times New Roman" w:hAnsi="Times New Roman"/>
              </w:rPr>
              <w:t>发热量（</w:t>
            </w:r>
            <w:r>
              <w:rPr>
                <w:rFonts w:ascii="Times New Roman" w:hAnsi="Times New Roman"/>
              </w:rPr>
              <w:t>Q</w:t>
            </w:r>
            <w:r>
              <w:rPr>
                <w:rFonts w:ascii="Times New Roman" w:hAnsi="Times New Roman"/>
                <w:vertAlign w:val="subscript"/>
              </w:rPr>
              <w:t>gr,ad</w:t>
            </w:r>
            <w:r>
              <w:rPr>
                <w:rFonts w:hint="eastAsia" w:ascii="Times New Roman" w:hAnsi="Times New Roman"/>
              </w:rPr>
              <w:t>）</w:t>
            </w:r>
          </w:p>
        </w:tc>
        <w:tc>
          <w:tcPr>
            <w:tcW w:w="1108" w:type="dxa"/>
            <w:shd w:val="clear" w:color="auto" w:fill="auto"/>
            <w:vAlign w:val="center"/>
          </w:tcPr>
          <w:p w14:paraId="3C3FF083">
            <w:pPr>
              <w:adjustRightInd/>
              <w:spacing w:line="240" w:lineRule="auto"/>
              <w:jc w:val="center"/>
              <w:rPr>
                <w:rFonts w:ascii="Times New Roman" w:hAnsi="Times New Roman"/>
              </w:rPr>
            </w:pPr>
            <w:r>
              <w:rPr>
                <w:rFonts w:ascii="Times New Roman" w:hAnsi="Times New Roman"/>
              </w:rPr>
              <w:t>J/g</w:t>
            </w:r>
          </w:p>
        </w:tc>
        <w:tc>
          <w:tcPr>
            <w:tcW w:w="1551" w:type="dxa"/>
          </w:tcPr>
          <w:p w14:paraId="7BFAA2E2">
            <w:pPr>
              <w:widowControl/>
              <w:autoSpaceDE w:val="0"/>
              <w:autoSpaceDN w:val="0"/>
              <w:adjustRightInd/>
              <w:spacing w:line="240" w:lineRule="auto"/>
              <w:jc w:val="center"/>
              <w:rPr>
                <w:rFonts w:ascii="Times New Roman" w:hAnsi="Times New Roman"/>
                <w:kern w:val="0"/>
              </w:rPr>
            </w:pPr>
            <w:r>
              <w:rPr>
                <w:rFonts w:ascii="Times New Roman" w:hAnsi="Times New Roman"/>
                <w:kern w:val="0"/>
              </w:rPr>
              <w:t>17</w:t>
            </w:r>
            <w:r>
              <w:rPr>
                <w:rFonts w:hint="eastAsia" w:ascii="Times New Roman" w:hAnsi="Times New Roman"/>
                <w:kern w:val="0"/>
              </w:rPr>
              <w:t>360</w:t>
            </w:r>
            <w:r>
              <w:rPr>
                <w:rFonts w:ascii="Times New Roman" w:hAnsi="Times New Roman"/>
                <w:kern w:val="0"/>
              </w:rPr>
              <w:t>～3</w:t>
            </w:r>
            <w:r>
              <w:rPr>
                <w:rFonts w:hint="eastAsia" w:ascii="Times New Roman" w:hAnsi="Times New Roman"/>
                <w:kern w:val="0"/>
              </w:rPr>
              <w:t>2690</w:t>
            </w:r>
          </w:p>
        </w:tc>
        <w:tc>
          <w:tcPr>
            <w:tcW w:w="1375" w:type="dxa"/>
          </w:tcPr>
          <w:p w14:paraId="5947BB60">
            <w:pPr>
              <w:widowControl/>
              <w:autoSpaceDE w:val="0"/>
              <w:autoSpaceDN w:val="0"/>
              <w:adjustRightInd/>
              <w:spacing w:line="240" w:lineRule="auto"/>
              <w:jc w:val="center"/>
              <w:rPr>
                <w:rFonts w:hint="eastAsia" w:ascii="Times New Roman" w:hAnsi="Times New Roman" w:eastAsia="宋体"/>
                <w:kern w:val="0"/>
                <w:lang w:eastAsia="zh-CN"/>
              </w:rPr>
            </w:pPr>
            <w:r>
              <w:rPr>
                <w:rFonts w:hint="eastAsia" w:ascii="Times New Roman" w:hAnsi="Times New Roman"/>
                <w:kern w:val="0"/>
              </w:rPr>
              <w:t>0.8</w:t>
            </w:r>
            <w:r>
              <w:rPr>
                <w:rFonts w:hint="eastAsia" w:ascii="Times New Roman" w:hAnsi="Times New Roman"/>
                <w:kern w:val="0"/>
                <w:lang w:val="en-US" w:eastAsia="zh-CN"/>
              </w:rPr>
              <w:t>2</w:t>
            </w:r>
            <w:bookmarkStart w:id="151" w:name="_GoBack"/>
            <w:bookmarkEnd w:id="151"/>
          </w:p>
        </w:tc>
        <w:tc>
          <w:tcPr>
            <w:tcW w:w="1550" w:type="dxa"/>
          </w:tcPr>
          <w:p w14:paraId="2FEC34B5">
            <w:pPr>
              <w:widowControl/>
              <w:autoSpaceDE w:val="0"/>
              <w:autoSpaceDN w:val="0"/>
              <w:adjustRightInd/>
              <w:spacing w:line="240" w:lineRule="auto"/>
              <w:jc w:val="center"/>
              <w:rPr>
                <w:rFonts w:ascii="Times New Roman" w:hAnsi="Times New Roman"/>
                <w:kern w:val="0"/>
              </w:rPr>
            </w:pPr>
            <w:r>
              <w:rPr>
                <w:rFonts w:hint="eastAsia" w:ascii="Times New Roman" w:hAnsi="Times New Roman"/>
                <w:kern w:val="0"/>
              </w:rPr>
              <w:t>1.07</w:t>
            </w:r>
          </w:p>
        </w:tc>
      </w:tr>
    </w:tbl>
    <w:p w14:paraId="34139D70">
      <w:pPr>
        <w:widowControl/>
        <w:adjustRightInd/>
        <w:spacing w:line="240" w:lineRule="auto"/>
        <w:jc w:val="left"/>
        <w:rPr>
          <w:rFonts w:ascii="Times New Roman" w:hAnsi="Times New Roman"/>
          <w:kern w:val="0"/>
          <w:szCs w:val="20"/>
        </w:rPr>
      </w:pPr>
    </w:p>
    <w:p w14:paraId="6F8BA681">
      <w:pPr>
        <w:widowControl/>
        <w:adjustRightInd/>
        <w:spacing w:line="240" w:lineRule="auto"/>
        <w:jc w:val="left"/>
        <w:rPr>
          <w:rFonts w:ascii="Times New Roman" w:hAnsi="Times New Roman"/>
          <w:kern w:val="0"/>
          <w:szCs w:val="20"/>
        </w:rPr>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DC227">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9EB10">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56B96">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75186">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BEC81">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D1288">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2151C">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A5CF5">
    <w:pPr>
      <w:pStyle w:val="64"/>
      <w:rPr>
        <w:rFonts w:hint="eastAsia"/>
      </w:rPr>
    </w:pPr>
    <w:r>
      <w:fldChar w:fldCharType="begin"/>
    </w:r>
    <w:r>
      <w:instrText xml:space="preserve"> STYLEREF  标准文件_文件编号  \* MERGEFORMAT </w:instrText>
    </w:r>
    <w:r>
      <w:fldChar w:fldCharType="separate"/>
    </w:r>
    <w:r>
      <w:t>P/CIQA -175—2024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34312">
    <w:pPr>
      <w:pStyle w:val="19"/>
      <w:jc w:val="right"/>
    </w:pPr>
    <w:r>
      <w:fldChar w:fldCharType="begin"/>
    </w:r>
    <w:r>
      <w:instrText xml:space="preserve"> STYLEREF  标准文件_文件编号  \* MERGEFORMAT </w:instrText>
    </w:r>
    <w:r>
      <w:fldChar w:fldCharType="separate"/>
    </w:r>
    <w:r>
      <w:t>P/CIQA -175—2024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F615BD0"/>
    <w:multiLevelType w:val="multilevel"/>
    <w:tmpl w:val="5F615BD0"/>
    <w:lvl w:ilvl="0" w:tentative="0">
      <w:start w:val="1"/>
      <w:numFmt w:val="lowerLetter"/>
      <w:lvlText w:val="%1)"/>
      <w:lvlJc w:val="left"/>
      <w:pPr>
        <w:ind w:left="780" w:hanging="360"/>
      </w:pPr>
      <w:rPr>
        <w:rFonts w:hint="default" w:ascii="Times New Roman" w:hAnsi="Times New Roman" w:cs="Times New Roman"/>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4252" w:firstLine="0"/>
      </w:pPr>
      <w:rPr>
        <w:rFonts w:hint="eastAsia"/>
        <w:spacing w:val="100"/>
      </w:rPr>
    </w:lvl>
    <w:lvl w:ilvl="1" w:tentative="0">
      <w:start w:val="1"/>
      <w:numFmt w:val="decimal"/>
      <w:pStyle w:val="81"/>
      <w:suff w:val="nothing"/>
      <w:lvlText w:val="%1.%2　"/>
      <w:lvlJc w:val="left"/>
      <w:pPr>
        <w:ind w:left="1985" w:firstLine="0"/>
      </w:pPr>
      <w:rPr>
        <w:rFonts w:hint="eastAsia" w:ascii="黑体" w:eastAsia="黑体"/>
        <w:b w:val="0"/>
        <w:i w:val="0"/>
        <w:sz w:val="21"/>
      </w:rPr>
    </w:lvl>
    <w:lvl w:ilvl="2" w:tentative="0">
      <w:start w:val="1"/>
      <w:numFmt w:val="decimal"/>
      <w:pStyle w:val="82"/>
      <w:suff w:val="nothing"/>
      <w:lvlText w:val="%1.%2.%3　"/>
      <w:lvlJc w:val="left"/>
      <w:pPr>
        <w:ind w:left="1844" w:firstLine="0"/>
      </w:pPr>
      <w:rPr>
        <w:rFonts w:hint="eastAsia" w:ascii="黑体" w:eastAsia="黑体"/>
        <w:b w:val="0"/>
        <w:i w:val="0"/>
        <w:sz w:val="21"/>
      </w:rPr>
    </w:lvl>
    <w:lvl w:ilvl="3" w:tentative="0">
      <w:start w:val="1"/>
      <w:numFmt w:val="decimal"/>
      <w:pStyle w:val="84"/>
      <w:suff w:val="nothing"/>
      <w:lvlText w:val="%1.%2.%3.%4　"/>
      <w:lvlJc w:val="left"/>
      <w:pPr>
        <w:ind w:left="1844" w:firstLine="0"/>
      </w:pPr>
      <w:rPr>
        <w:rFonts w:hint="eastAsia" w:ascii="黑体" w:eastAsia="黑体"/>
        <w:b w:val="0"/>
        <w:i w:val="0"/>
        <w:sz w:val="21"/>
      </w:rPr>
    </w:lvl>
    <w:lvl w:ilvl="4" w:tentative="0">
      <w:start w:val="1"/>
      <w:numFmt w:val="decimal"/>
      <w:pStyle w:val="85"/>
      <w:suff w:val="nothing"/>
      <w:lvlText w:val="%1.%2.%3.%4.%5　"/>
      <w:lvlJc w:val="left"/>
      <w:pPr>
        <w:ind w:left="1844" w:firstLine="0"/>
      </w:pPr>
      <w:rPr>
        <w:rFonts w:hint="eastAsia" w:ascii="黑体" w:eastAsia="黑体"/>
        <w:b w:val="0"/>
        <w:i w:val="0"/>
        <w:sz w:val="21"/>
      </w:rPr>
    </w:lvl>
    <w:lvl w:ilvl="5" w:tentative="0">
      <w:start w:val="1"/>
      <w:numFmt w:val="decimal"/>
      <w:pStyle w:val="87"/>
      <w:suff w:val="nothing"/>
      <w:lvlText w:val="%1.%2.%3.%4.%5.%6　"/>
      <w:lvlJc w:val="left"/>
      <w:pPr>
        <w:ind w:left="1844" w:firstLine="0"/>
      </w:pPr>
      <w:rPr>
        <w:rFonts w:hint="eastAsia" w:ascii="黑体" w:eastAsia="黑体"/>
        <w:b w:val="0"/>
        <w:i w:val="0"/>
        <w:sz w:val="21"/>
      </w:rPr>
    </w:lvl>
    <w:lvl w:ilvl="6" w:tentative="0">
      <w:start w:val="1"/>
      <w:numFmt w:val="decimal"/>
      <w:suff w:val="nothing"/>
      <w:lvlText w:val="%1.%2.%3.%4.%5.%6.%7　"/>
      <w:lvlJc w:val="left"/>
      <w:pPr>
        <w:ind w:left="1844" w:firstLine="0"/>
      </w:pPr>
      <w:rPr>
        <w:rFonts w:hint="eastAsia"/>
      </w:rPr>
    </w:lvl>
    <w:lvl w:ilvl="7" w:tentative="0">
      <w:start w:val="1"/>
      <w:numFmt w:val="decimal"/>
      <w:lvlText w:val="%1.%2.%3.%4.%5.%6.%7.%8"/>
      <w:lvlJc w:val="left"/>
      <w:pPr>
        <w:tabs>
          <w:tab w:val="left" w:pos="6238"/>
        </w:tabs>
        <w:ind w:left="6238" w:hanging="1418"/>
      </w:pPr>
      <w:rPr>
        <w:rFonts w:hint="eastAsia"/>
      </w:rPr>
    </w:lvl>
    <w:lvl w:ilvl="8" w:tentative="0">
      <w:start w:val="1"/>
      <w:numFmt w:val="decimal"/>
      <w:lvlText w:val="%1.%2.%3.%4.%5.%6.%7.%8.%9"/>
      <w:lvlJc w:val="left"/>
      <w:pPr>
        <w:tabs>
          <w:tab w:val="left" w:pos="6946"/>
        </w:tabs>
        <w:ind w:left="6946"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567"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99778A8"/>
    <w:multiLevelType w:val="multilevel"/>
    <w:tmpl w:val="799778A8"/>
    <w:lvl w:ilvl="0" w:tentative="0">
      <w:start w:val="1"/>
      <w:numFmt w:val="upperLetter"/>
      <w:lvlText w:val="%1 "/>
      <w:lvlJc w:val="left"/>
      <w:pPr>
        <w:ind w:left="0" w:firstLine="0"/>
      </w:pPr>
      <w:rPr>
        <w:rFonts w:hint="eastAsia"/>
      </w:rPr>
    </w:lvl>
    <w:lvl w:ilvl="1" w:tentative="0">
      <w:start w:val="1"/>
      <w:numFmt w:val="decimal"/>
      <w:pStyle w:val="241"/>
      <w:lvlText w:val="%1.%2"/>
      <w:lvlJc w:val="left"/>
      <w:pPr>
        <w:ind w:left="0" w:firstLine="0"/>
      </w:pPr>
      <w:rPr>
        <w:rFonts w:hint="eastAsia" w:ascii="黑体" w:hAnsi="黑体" w:eastAsia="黑体"/>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9"/>
  </w:num>
  <w:num w:numId="9">
    <w:abstractNumId w:val="16"/>
  </w:num>
  <w:num w:numId="10">
    <w:abstractNumId w:val="26"/>
  </w:num>
  <w:num w:numId="11">
    <w:abstractNumId w:val="11"/>
  </w:num>
  <w:num w:numId="12">
    <w:abstractNumId w:val="12"/>
  </w:num>
  <w:num w:numId="13">
    <w:abstractNumId w:val="7"/>
  </w:num>
  <w:num w:numId="14">
    <w:abstractNumId w:val="19"/>
  </w:num>
  <w:num w:numId="15">
    <w:abstractNumId w:val="22"/>
  </w:num>
  <w:num w:numId="16">
    <w:abstractNumId w:val="17"/>
  </w:num>
  <w:num w:numId="17">
    <w:abstractNumId w:val="30"/>
  </w:num>
  <w:num w:numId="18">
    <w:abstractNumId w:val="15"/>
  </w:num>
  <w:num w:numId="19">
    <w:abstractNumId w:val="1"/>
  </w:num>
  <w:num w:numId="20">
    <w:abstractNumId w:val="10"/>
  </w:num>
  <w:num w:numId="21">
    <w:abstractNumId w:val="31"/>
  </w:num>
  <w:num w:numId="22">
    <w:abstractNumId w:val="21"/>
  </w:num>
  <w:num w:numId="23">
    <w:abstractNumId w:val="6"/>
  </w:num>
  <w:num w:numId="24">
    <w:abstractNumId w:val="27"/>
  </w:num>
  <w:num w:numId="25">
    <w:abstractNumId w:val="29"/>
  </w:num>
  <w:num w:numId="26">
    <w:abstractNumId w:val="2"/>
  </w:num>
  <w:num w:numId="27">
    <w:abstractNumId w:val="4"/>
  </w:num>
  <w:num w:numId="28">
    <w:abstractNumId w:val="14"/>
  </w:num>
  <w:num w:numId="29">
    <w:abstractNumId w:val="25"/>
  </w:num>
  <w:num w:numId="30">
    <w:abstractNumId w:val="23"/>
  </w:num>
  <w:num w:numId="31">
    <w:abstractNumId w:val="32"/>
  </w:num>
  <w:num w:numId="32">
    <w:abstractNumId w:val="3"/>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5YTVmN2RmNGExZjFkZGE5NWZhODNjZjEyODJkYTYifQ=="/>
  </w:docVars>
  <w:rsids>
    <w:rsidRoot w:val="00984CB1"/>
    <w:rsid w:val="0000040A"/>
    <w:rsid w:val="00000A94"/>
    <w:rsid w:val="00001972"/>
    <w:rsid w:val="00001D9A"/>
    <w:rsid w:val="00005017"/>
    <w:rsid w:val="00005A62"/>
    <w:rsid w:val="00006450"/>
    <w:rsid w:val="00007B3A"/>
    <w:rsid w:val="000107E0"/>
    <w:rsid w:val="0001156D"/>
    <w:rsid w:val="00011FDE"/>
    <w:rsid w:val="00012FFD"/>
    <w:rsid w:val="00013153"/>
    <w:rsid w:val="00014162"/>
    <w:rsid w:val="00014340"/>
    <w:rsid w:val="000154BA"/>
    <w:rsid w:val="00016A9C"/>
    <w:rsid w:val="000202EE"/>
    <w:rsid w:val="00022184"/>
    <w:rsid w:val="00022762"/>
    <w:rsid w:val="00023414"/>
    <w:rsid w:val="000238E0"/>
    <w:rsid w:val="000239D1"/>
    <w:rsid w:val="000242A8"/>
    <w:rsid w:val="000249DB"/>
    <w:rsid w:val="0002595E"/>
    <w:rsid w:val="000303C3"/>
    <w:rsid w:val="000331D3"/>
    <w:rsid w:val="000346A5"/>
    <w:rsid w:val="000359C3"/>
    <w:rsid w:val="00035A7D"/>
    <w:rsid w:val="000365ED"/>
    <w:rsid w:val="0004249A"/>
    <w:rsid w:val="00043282"/>
    <w:rsid w:val="00044286"/>
    <w:rsid w:val="00044610"/>
    <w:rsid w:val="00045307"/>
    <w:rsid w:val="00047F28"/>
    <w:rsid w:val="000503AA"/>
    <w:rsid w:val="000506A1"/>
    <w:rsid w:val="000515DD"/>
    <w:rsid w:val="0005265A"/>
    <w:rsid w:val="000539DD"/>
    <w:rsid w:val="00053BD3"/>
    <w:rsid w:val="000556ED"/>
    <w:rsid w:val="00055FE2"/>
    <w:rsid w:val="0005616F"/>
    <w:rsid w:val="0005696B"/>
    <w:rsid w:val="00060C2E"/>
    <w:rsid w:val="00061033"/>
    <w:rsid w:val="000619E9"/>
    <w:rsid w:val="000622D4"/>
    <w:rsid w:val="000632CF"/>
    <w:rsid w:val="0006357D"/>
    <w:rsid w:val="000646E0"/>
    <w:rsid w:val="0006479F"/>
    <w:rsid w:val="00064BFA"/>
    <w:rsid w:val="0006676E"/>
    <w:rsid w:val="00067F1E"/>
    <w:rsid w:val="000710B0"/>
    <w:rsid w:val="00071CC0"/>
    <w:rsid w:val="00071CFC"/>
    <w:rsid w:val="00073C8C"/>
    <w:rsid w:val="00075846"/>
    <w:rsid w:val="00077B64"/>
    <w:rsid w:val="00077F45"/>
    <w:rsid w:val="00080657"/>
    <w:rsid w:val="00080A1C"/>
    <w:rsid w:val="00080AA0"/>
    <w:rsid w:val="00082317"/>
    <w:rsid w:val="00083D2C"/>
    <w:rsid w:val="00086AA1"/>
    <w:rsid w:val="00087A77"/>
    <w:rsid w:val="00090CA6"/>
    <w:rsid w:val="00092B8A"/>
    <w:rsid w:val="00092FB0"/>
    <w:rsid w:val="000934C5"/>
    <w:rsid w:val="00093D25"/>
    <w:rsid w:val="00093DAB"/>
    <w:rsid w:val="00093E2B"/>
    <w:rsid w:val="00094D73"/>
    <w:rsid w:val="00096D63"/>
    <w:rsid w:val="000A0B60"/>
    <w:rsid w:val="000A0EB8"/>
    <w:rsid w:val="000A19FC"/>
    <w:rsid w:val="000A296B"/>
    <w:rsid w:val="000A2BE6"/>
    <w:rsid w:val="000A6C1C"/>
    <w:rsid w:val="000A7311"/>
    <w:rsid w:val="000B060F"/>
    <w:rsid w:val="000B1490"/>
    <w:rsid w:val="000B1592"/>
    <w:rsid w:val="000B1FF2"/>
    <w:rsid w:val="000B3CDA"/>
    <w:rsid w:val="000B412C"/>
    <w:rsid w:val="000B44EF"/>
    <w:rsid w:val="000B6A0B"/>
    <w:rsid w:val="000C0F6C"/>
    <w:rsid w:val="000C11DB"/>
    <w:rsid w:val="000C1492"/>
    <w:rsid w:val="000C2FBD"/>
    <w:rsid w:val="000C4B41"/>
    <w:rsid w:val="000C55DA"/>
    <w:rsid w:val="000C57D6"/>
    <w:rsid w:val="000C6362"/>
    <w:rsid w:val="000C7666"/>
    <w:rsid w:val="000D0A9C"/>
    <w:rsid w:val="000D1795"/>
    <w:rsid w:val="000D2712"/>
    <w:rsid w:val="000D2958"/>
    <w:rsid w:val="000D329A"/>
    <w:rsid w:val="000D4B9C"/>
    <w:rsid w:val="000D4EB6"/>
    <w:rsid w:val="000D753B"/>
    <w:rsid w:val="000D7C14"/>
    <w:rsid w:val="000D7CD2"/>
    <w:rsid w:val="000E07F3"/>
    <w:rsid w:val="000E4A53"/>
    <w:rsid w:val="000E4C9E"/>
    <w:rsid w:val="000E5133"/>
    <w:rsid w:val="000E6FD7"/>
    <w:rsid w:val="000E7144"/>
    <w:rsid w:val="000F06E1"/>
    <w:rsid w:val="000F078C"/>
    <w:rsid w:val="000F0E3C"/>
    <w:rsid w:val="000F19D5"/>
    <w:rsid w:val="000F2127"/>
    <w:rsid w:val="000F4050"/>
    <w:rsid w:val="000F4AEA"/>
    <w:rsid w:val="000F67E9"/>
    <w:rsid w:val="000F6FE3"/>
    <w:rsid w:val="00101EF1"/>
    <w:rsid w:val="00102F6B"/>
    <w:rsid w:val="00104926"/>
    <w:rsid w:val="00105A05"/>
    <w:rsid w:val="00105D5C"/>
    <w:rsid w:val="00111620"/>
    <w:rsid w:val="00113B1E"/>
    <w:rsid w:val="001141C1"/>
    <w:rsid w:val="00115BC2"/>
    <w:rsid w:val="00116168"/>
    <w:rsid w:val="0011711C"/>
    <w:rsid w:val="001173D4"/>
    <w:rsid w:val="00124E4F"/>
    <w:rsid w:val="001260B7"/>
    <w:rsid w:val="001265CB"/>
    <w:rsid w:val="00127948"/>
    <w:rsid w:val="001279B2"/>
    <w:rsid w:val="001321C6"/>
    <w:rsid w:val="001325C4"/>
    <w:rsid w:val="00133010"/>
    <w:rsid w:val="001338EE"/>
    <w:rsid w:val="00133AAE"/>
    <w:rsid w:val="00134373"/>
    <w:rsid w:val="00135323"/>
    <w:rsid w:val="001356C4"/>
    <w:rsid w:val="00137565"/>
    <w:rsid w:val="00137BD4"/>
    <w:rsid w:val="00141114"/>
    <w:rsid w:val="00142969"/>
    <w:rsid w:val="00143F94"/>
    <w:rsid w:val="001446C2"/>
    <w:rsid w:val="001457E7"/>
    <w:rsid w:val="00145D9D"/>
    <w:rsid w:val="00146388"/>
    <w:rsid w:val="001504AC"/>
    <w:rsid w:val="00151A88"/>
    <w:rsid w:val="00152603"/>
    <w:rsid w:val="001529E5"/>
    <w:rsid w:val="00152FB3"/>
    <w:rsid w:val="00153069"/>
    <w:rsid w:val="00153C7E"/>
    <w:rsid w:val="0015452C"/>
    <w:rsid w:val="00154B3B"/>
    <w:rsid w:val="00154F6A"/>
    <w:rsid w:val="001551C2"/>
    <w:rsid w:val="00156B25"/>
    <w:rsid w:val="00156E1A"/>
    <w:rsid w:val="00157894"/>
    <w:rsid w:val="00157B55"/>
    <w:rsid w:val="001613B1"/>
    <w:rsid w:val="0016163E"/>
    <w:rsid w:val="001642FA"/>
    <w:rsid w:val="001649EB"/>
    <w:rsid w:val="00164BAF"/>
    <w:rsid w:val="00164FA8"/>
    <w:rsid w:val="00165065"/>
    <w:rsid w:val="00165434"/>
    <w:rsid w:val="0016580B"/>
    <w:rsid w:val="00165A5B"/>
    <w:rsid w:val="00165F49"/>
    <w:rsid w:val="00166B88"/>
    <w:rsid w:val="0016770A"/>
    <w:rsid w:val="00170804"/>
    <w:rsid w:val="001708E9"/>
    <w:rsid w:val="001716D2"/>
    <w:rsid w:val="0017340B"/>
    <w:rsid w:val="00173FB1"/>
    <w:rsid w:val="001750D5"/>
    <w:rsid w:val="001751A8"/>
    <w:rsid w:val="0017688C"/>
    <w:rsid w:val="00176DFD"/>
    <w:rsid w:val="0018006D"/>
    <w:rsid w:val="001852C9"/>
    <w:rsid w:val="00187A0B"/>
    <w:rsid w:val="00190087"/>
    <w:rsid w:val="001913C4"/>
    <w:rsid w:val="00191EAA"/>
    <w:rsid w:val="0019258E"/>
    <w:rsid w:val="0019348F"/>
    <w:rsid w:val="00193A07"/>
    <w:rsid w:val="00193EF6"/>
    <w:rsid w:val="00194C95"/>
    <w:rsid w:val="001950BE"/>
    <w:rsid w:val="00195C34"/>
    <w:rsid w:val="001963F1"/>
    <w:rsid w:val="00196EF5"/>
    <w:rsid w:val="001A1A53"/>
    <w:rsid w:val="001A234A"/>
    <w:rsid w:val="001A2EB0"/>
    <w:rsid w:val="001A4CF3"/>
    <w:rsid w:val="001A5F3B"/>
    <w:rsid w:val="001A6573"/>
    <w:rsid w:val="001A6696"/>
    <w:rsid w:val="001B06E8"/>
    <w:rsid w:val="001B1FDE"/>
    <w:rsid w:val="001B667F"/>
    <w:rsid w:val="001B71D0"/>
    <w:rsid w:val="001B71EE"/>
    <w:rsid w:val="001B7901"/>
    <w:rsid w:val="001C04A8"/>
    <w:rsid w:val="001C1D87"/>
    <w:rsid w:val="001C237B"/>
    <w:rsid w:val="001C2C03"/>
    <w:rsid w:val="001C42F7"/>
    <w:rsid w:val="001C49E5"/>
    <w:rsid w:val="001C680C"/>
    <w:rsid w:val="001C7D87"/>
    <w:rsid w:val="001C7DA4"/>
    <w:rsid w:val="001C7EBC"/>
    <w:rsid w:val="001C7FEA"/>
    <w:rsid w:val="001D0499"/>
    <w:rsid w:val="001D0BBE"/>
    <w:rsid w:val="001D0ED4"/>
    <w:rsid w:val="001D212F"/>
    <w:rsid w:val="001D28D0"/>
    <w:rsid w:val="001D29D7"/>
    <w:rsid w:val="001D2DE7"/>
    <w:rsid w:val="001D411C"/>
    <w:rsid w:val="001E06AE"/>
    <w:rsid w:val="001E1B6A"/>
    <w:rsid w:val="001E219D"/>
    <w:rsid w:val="001E2484"/>
    <w:rsid w:val="001E3BCD"/>
    <w:rsid w:val="001E3CC4"/>
    <w:rsid w:val="001E4882"/>
    <w:rsid w:val="001E63AA"/>
    <w:rsid w:val="001E73AB"/>
    <w:rsid w:val="001F092D"/>
    <w:rsid w:val="001F143A"/>
    <w:rsid w:val="001F1605"/>
    <w:rsid w:val="001F2508"/>
    <w:rsid w:val="001F4816"/>
    <w:rsid w:val="001F69B4"/>
    <w:rsid w:val="001F721E"/>
    <w:rsid w:val="001F77C7"/>
    <w:rsid w:val="00200183"/>
    <w:rsid w:val="00200333"/>
    <w:rsid w:val="0020107D"/>
    <w:rsid w:val="002011F2"/>
    <w:rsid w:val="00201784"/>
    <w:rsid w:val="00202AA4"/>
    <w:rsid w:val="002031F7"/>
    <w:rsid w:val="002040E6"/>
    <w:rsid w:val="0020527B"/>
    <w:rsid w:val="00205F2C"/>
    <w:rsid w:val="00210A14"/>
    <w:rsid w:val="00210B15"/>
    <w:rsid w:val="00211BC3"/>
    <w:rsid w:val="002142EA"/>
    <w:rsid w:val="00215ADD"/>
    <w:rsid w:val="0021660B"/>
    <w:rsid w:val="002204BB"/>
    <w:rsid w:val="00221B79"/>
    <w:rsid w:val="00221C6B"/>
    <w:rsid w:val="002253A1"/>
    <w:rsid w:val="00225CF8"/>
    <w:rsid w:val="0022794E"/>
    <w:rsid w:val="0023339E"/>
    <w:rsid w:val="00233D64"/>
    <w:rsid w:val="0023482A"/>
    <w:rsid w:val="002359CB"/>
    <w:rsid w:val="002415F9"/>
    <w:rsid w:val="002421E7"/>
    <w:rsid w:val="00242D33"/>
    <w:rsid w:val="00243540"/>
    <w:rsid w:val="0024497B"/>
    <w:rsid w:val="0024515B"/>
    <w:rsid w:val="00246021"/>
    <w:rsid w:val="0024666E"/>
    <w:rsid w:val="00247F52"/>
    <w:rsid w:val="00250B25"/>
    <w:rsid w:val="00250BBE"/>
    <w:rsid w:val="00250F0E"/>
    <w:rsid w:val="002515C2"/>
    <w:rsid w:val="0025194F"/>
    <w:rsid w:val="00251C78"/>
    <w:rsid w:val="00257F1F"/>
    <w:rsid w:val="00261364"/>
    <w:rsid w:val="0026148A"/>
    <w:rsid w:val="00262696"/>
    <w:rsid w:val="00263D25"/>
    <w:rsid w:val="002643C3"/>
    <w:rsid w:val="00264A0C"/>
    <w:rsid w:val="002653F9"/>
    <w:rsid w:val="00266EEB"/>
    <w:rsid w:val="00267EF4"/>
    <w:rsid w:val="002708D9"/>
    <w:rsid w:val="00270A43"/>
    <w:rsid w:val="00270CB8"/>
    <w:rsid w:val="00272808"/>
    <w:rsid w:val="00272B08"/>
    <w:rsid w:val="00280913"/>
    <w:rsid w:val="00281508"/>
    <w:rsid w:val="00281BB8"/>
    <w:rsid w:val="00281E9E"/>
    <w:rsid w:val="00282363"/>
    <w:rsid w:val="00282405"/>
    <w:rsid w:val="00285170"/>
    <w:rsid w:val="00285361"/>
    <w:rsid w:val="00292D60"/>
    <w:rsid w:val="00293B30"/>
    <w:rsid w:val="00294D34"/>
    <w:rsid w:val="00294E3B"/>
    <w:rsid w:val="00296193"/>
    <w:rsid w:val="00296C66"/>
    <w:rsid w:val="00296EBE"/>
    <w:rsid w:val="002974E3"/>
    <w:rsid w:val="00297EA9"/>
    <w:rsid w:val="002A0606"/>
    <w:rsid w:val="002A084B"/>
    <w:rsid w:val="002A1260"/>
    <w:rsid w:val="002A1589"/>
    <w:rsid w:val="002A1608"/>
    <w:rsid w:val="002A1A6C"/>
    <w:rsid w:val="002A1B64"/>
    <w:rsid w:val="002A1EE2"/>
    <w:rsid w:val="002A205F"/>
    <w:rsid w:val="002A25DC"/>
    <w:rsid w:val="002A2815"/>
    <w:rsid w:val="002A2AEC"/>
    <w:rsid w:val="002A3AAB"/>
    <w:rsid w:val="002A4CEA"/>
    <w:rsid w:val="002A5977"/>
    <w:rsid w:val="002A5A13"/>
    <w:rsid w:val="002A65B3"/>
    <w:rsid w:val="002A757F"/>
    <w:rsid w:val="002A7AD0"/>
    <w:rsid w:val="002A7F44"/>
    <w:rsid w:val="002B0C40"/>
    <w:rsid w:val="002B1966"/>
    <w:rsid w:val="002B1A64"/>
    <w:rsid w:val="002B2EC5"/>
    <w:rsid w:val="002B4508"/>
    <w:rsid w:val="002B49E2"/>
    <w:rsid w:val="002B5779"/>
    <w:rsid w:val="002B7332"/>
    <w:rsid w:val="002B7900"/>
    <w:rsid w:val="002B7B35"/>
    <w:rsid w:val="002B7F51"/>
    <w:rsid w:val="002C064A"/>
    <w:rsid w:val="002C09E7"/>
    <w:rsid w:val="002C1E06"/>
    <w:rsid w:val="002C3F07"/>
    <w:rsid w:val="002C5278"/>
    <w:rsid w:val="002C77F1"/>
    <w:rsid w:val="002C7EBB"/>
    <w:rsid w:val="002D06C1"/>
    <w:rsid w:val="002D1073"/>
    <w:rsid w:val="002D42B5"/>
    <w:rsid w:val="002D4F1A"/>
    <w:rsid w:val="002D6190"/>
    <w:rsid w:val="002D6EC6"/>
    <w:rsid w:val="002D79AC"/>
    <w:rsid w:val="002E039D"/>
    <w:rsid w:val="002E17F8"/>
    <w:rsid w:val="002E4511"/>
    <w:rsid w:val="002E46DE"/>
    <w:rsid w:val="002E4D5A"/>
    <w:rsid w:val="002E5152"/>
    <w:rsid w:val="002E6326"/>
    <w:rsid w:val="002F02B7"/>
    <w:rsid w:val="002F1E04"/>
    <w:rsid w:val="002F30E0"/>
    <w:rsid w:val="002F35E4"/>
    <w:rsid w:val="002F3730"/>
    <w:rsid w:val="002F38E1"/>
    <w:rsid w:val="002F7AF6"/>
    <w:rsid w:val="00300E63"/>
    <w:rsid w:val="00302E66"/>
    <w:rsid w:val="00302F5F"/>
    <w:rsid w:val="003032F1"/>
    <w:rsid w:val="0030441D"/>
    <w:rsid w:val="00306063"/>
    <w:rsid w:val="00313B85"/>
    <w:rsid w:val="00316806"/>
    <w:rsid w:val="00317988"/>
    <w:rsid w:val="00317D3A"/>
    <w:rsid w:val="00320D9F"/>
    <w:rsid w:val="003221B4"/>
    <w:rsid w:val="0032258D"/>
    <w:rsid w:val="00322E62"/>
    <w:rsid w:val="003238C1"/>
    <w:rsid w:val="00323E3F"/>
    <w:rsid w:val="00323FFD"/>
    <w:rsid w:val="00324D13"/>
    <w:rsid w:val="00324EDD"/>
    <w:rsid w:val="00331571"/>
    <w:rsid w:val="003331E4"/>
    <w:rsid w:val="00336C64"/>
    <w:rsid w:val="00337162"/>
    <w:rsid w:val="0034194F"/>
    <w:rsid w:val="00342DFC"/>
    <w:rsid w:val="00344605"/>
    <w:rsid w:val="00344660"/>
    <w:rsid w:val="003474AA"/>
    <w:rsid w:val="0034753B"/>
    <w:rsid w:val="00350D1D"/>
    <w:rsid w:val="00352C83"/>
    <w:rsid w:val="00352F1A"/>
    <w:rsid w:val="00353FB2"/>
    <w:rsid w:val="003556D1"/>
    <w:rsid w:val="00355894"/>
    <w:rsid w:val="00356977"/>
    <w:rsid w:val="00357ACF"/>
    <w:rsid w:val="00360489"/>
    <w:rsid w:val="003608DC"/>
    <w:rsid w:val="0036107C"/>
    <w:rsid w:val="003615D2"/>
    <w:rsid w:val="003634F2"/>
    <w:rsid w:val="0036429C"/>
    <w:rsid w:val="00364A53"/>
    <w:rsid w:val="0036525D"/>
    <w:rsid w:val="003654CB"/>
    <w:rsid w:val="00365AA9"/>
    <w:rsid w:val="00365D0E"/>
    <w:rsid w:val="00365F86"/>
    <w:rsid w:val="00365F87"/>
    <w:rsid w:val="00366E89"/>
    <w:rsid w:val="003705F4"/>
    <w:rsid w:val="00370D58"/>
    <w:rsid w:val="00371316"/>
    <w:rsid w:val="00376713"/>
    <w:rsid w:val="00377B08"/>
    <w:rsid w:val="00380CEB"/>
    <w:rsid w:val="00381815"/>
    <w:rsid w:val="003819AF"/>
    <w:rsid w:val="003820E9"/>
    <w:rsid w:val="00382DE7"/>
    <w:rsid w:val="00384FFC"/>
    <w:rsid w:val="0038563C"/>
    <w:rsid w:val="003857DF"/>
    <w:rsid w:val="00387159"/>
    <w:rsid w:val="003872C6"/>
    <w:rsid w:val="003872FC"/>
    <w:rsid w:val="00387ADC"/>
    <w:rsid w:val="00390020"/>
    <w:rsid w:val="003903D6"/>
    <w:rsid w:val="00390EE6"/>
    <w:rsid w:val="0039118F"/>
    <w:rsid w:val="00391874"/>
    <w:rsid w:val="00392AD7"/>
    <w:rsid w:val="00393122"/>
    <w:rsid w:val="003938D9"/>
    <w:rsid w:val="00394376"/>
    <w:rsid w:val="003943FF"/>
    <w:rsid w:val="003955CA"/>
    <w:rsid w:val="003974EB"/>
    <w:rsid w:val="00397CC5"/>
    <w:rsid w:val="003A11D1"/>
    <w:rsid w:val="003A1582"/>
    <w:rsid w:val="003A3D9C"/>
    <w:rsid w:val="003A4077"/>
    <w:rsid w:val="003A4294"/>
    <w:rsid w:val="003A4AA7"/>
    <w:rsid w:val="003B09AD"/>
    <w:rsid w:val="003B1709"/>
    <w:rsid w:val="003B1F18"/>
    <w:rsid w:val="003B5BF0"/>
    <w:rsid w:val="003B60BF"/>
    <w:rsid w:val="003B6BE3"/>
    <w:rsid w:val="003C010C"/>
    <w:rsid w:val="003C0A6C"/>
    <w:rsid w:val="003C10D6"/>
    <w:rsid w:val="003C1497"/>
    <w:rsid w:val="003C14F8"/>
    <w:rsid w:val="003C39C7"/>
    <w:rsid w:val="003C4AFD"/>
    <w:rsid w:val="003C5A43"/>
    <w:rsid w:val="003D0519"/>
    <w:rsid w:val="003D0FF6"/>
    <w:rsid w:val="003D262C"/>
    <w:rsid w:val="003D2C14"/>
    <w:rsid w:val="003D6A5D"/>
    <w:rsid w:val="003D6D61"/>
    <w:rsid w:val="003E019F"/>
    <w:rsid w:val="003E091D"/>
    <w:rsid w:val="003E1C53"/>
    <w:rsid w:val="003E2A69"/>
    <w:rsid w:val="003E2D49"/>
    <w:rsid w:val="003E2FD4"/>
    <w:rsid w:val="003E4888"/>
    <w:rsid w:val="003E49F6"/>
    <w:rsid w:val="003E660F"/>
    <w:rsid w:val="003F0841"/>
    <w:rsid w:val="003F23D3"/>
    <w:rsid w:val="003F2949"/>
    <w:rsid w:val="003F29A4"/>
    <w:rsid w:val="003F3F08"/>
    <w:rsid w:val="003F49F1"/>
    <w:rsid w:val="003F6272"/>
    <w:rsid w:val="003F7BEA"/>
    <w:rsid w:val="00400E72"/>
    <w:rsid w:val="00401400"/>
    <w:rsid w:val="0040394E"/>
    <w:rsid w:val="00403C33"/>
    <w:rsid w:val="00404869"/>
    <w:rsid w:val="0040486B"/>
    <w:rsid w:val="00405884"/>
    <w:rsid w:val="00407922"/>
    <w:rsid w:val="00407D39"/>
    <w:rsid w:val="00413AB7"/>
    <w:rsid w:val="0041477A"/>
    <w:rsid w:val="004167A3"/>
    <w:rsid w:val="00420969"/>
    <w:rsid w:val="00430F62"/>
    <w:rsid w:val="00432DAA"/>
    <w:rsid w:val="00434305"/>
    <w:rsid w:val="00434A0C"/>
    <w:rsid w:val="00435DF7"/>
    <w:rsid w:val="00436705"/>
    <w:rsid w:val="004403CF"/>
    <w:rsid w:val="0044083F"/>
    <w:rsid w:val="00441AE7"/>
    <w:rsid w:val="00442A42"/>
    <w:rsid w:val="00443C3A"/>
    <w:rsid w:val="00445574"/>
    <w:rsid w:val="00446162"/>
    <w:rsid w:val="004467FB"/>
    <w:rsid w:val="00452A34"/>
    <w:rsid w:val="00452D6B"/>
    <w:rsid w:val="0045447E"/>
    <w:rsid w:val="00454484"/>
    <w:rsid w:val="0045517B"/>
    <w:rsid w:val="0046353F"/>
    <w:rsid w:val="00463B77"/>
    <w:rsid w:val="00463C7B"/>
    <w:rsid w:val="004644A6"/>
    <w:rsid w:val="0046473B"/>
    <w:rsid w:val="004659BD"/>
    <w:rsid w:val="0046608F"/>
    <w:rsid w:val="00466C71"/>
    <w:rsid w:val="00470775"/>
    <w:rsid w:val="0047077A"/>
    <w:rsid w:val="0047232C"/>
    <w:rsid w:val="00474585"/>
    <w:rsid w:val="004746B1"/>
    <w:rsid w:val="0047583F"/>
    <w:rsid w:val="00475DE8"/>
    <w:rsid w:val="004773C0"/>
    <w:rsid w:val="00481C44"/>
    <w:rsid w:val="00481F21"/>
    <w:rsid w:val="00482942"/>
    <w:rsid w:val="00484936"/>
    <w:rsid w:val="00485C89"/>
    <w:rsid w:val="0048688B"/>
    <w:rsid w:val="00486BE3"/>
    <w:rsid w:val="0048780D"/>
    <w:rsid w:val="004905E4"/>
    <w:rsid w:val="00490A89"/>
    <w:rsid w:val="00490AB4"/>
    <w:rsid w:val="00492F02"/>
    <w:rsid w:val="004939AE"/>
    <w:rsid w:val="00495D65"/>
    <w:rsid w:val="004A12DF"/>
    <w:rsid w:val="004A134F"/>
    <w:rsid w:val="004A1BA8"/>
    <w:rsid w:val="004A260F"/>
    <w:rsid w:val="004A33B8"/>
    <w:rsid w:val="004A4B57"/>
    <w:rsid w:val="004A5593"/>
    <w:rsid w:val="004A63FA"/>
    <w:rsid w:val="004A6A3D"/>
    <w:rsid w:val="004B0272"/>
    <w:rsid w:val="004B2701"/>
    <w:rsid w:val="004B2E1B"/>
    <w:rsid w:val="004B3AA8"/>
    <w:rsid w:val="004B3E93"/>
    <w:rsid w:val="004B4DA8"/>
    <w:rsid w:val="004B503F"/>
    <w:rsid w:val="004C06F3"/>
    <w:rsid w:val="004C0DBF"/>
    <w:rsid w:val="004C1FBC"/>
    <w:rsid w:val="004C25A2"/>
    <w:rsid w:val="004C286F"/>
    <w:rsid w:val="004C3F1D"/>
    <w:rsid w:val="004C458D"/>
    <w:rsid w:val="004C7556"/>
    <w:rsid w:val="004C77BC"/>
    <w:rsid w:val="004C7E5E"/>
    <w:rsid w:val="004C7E8B"/>
    <w:rsid w:val="004C7E9D"/>
    <w:rsid w:val="004C7F67"/>
    <w:rsid w:val="004D076D"/>
    <w:rsid w:val="004D0CBF"/>
    <w:rsid w:val="004D0EF1"/>
    <w:rsid w:val="004D1447"/>
    <w:rsid w:val="004D2253"/>
    <w:rsid w:val="004D4406"/>
    <w:rsid w:val="004D5587"/>
    <w:rsid w:val="004D668E"/>
    <w:rsid w:val="004D7C42"/>
    <w:rsid w:val="004E0465"/>
    <w:rsid w:val="004E127B"/>
    <w:rsid w:val="004E1C0A"/>
    <w:rsid w:val="004E30C5"/>
    <w:rsid w:val="004E4524"/>
    <w:rsid w:val="004E4AA5"/>
    <w:rsid w:val="004E4AEE"/>
    <w:rsid w:val="004E54A7"/>
    <w:rsid w:val="004E59E3"/>
    <w:rsid w:val="004E60BD"/>
    <w:rsid w:val="004E67C0"/>
    <w:rsid w:val="004F391A"/>
    <w:rsid w:val="004F3CFB"/>
    <w:rsid w:val="004F57D4"/>
    <w:rsid w:val="004F6456"/>
    <w:rsid w:val="004F696E"/>
    <w:rsid w:val="004F6C71"/>
    <w:rsid w:val="004F7188"/>
    <w:rsid w:val="00501139"/>
    <w:rsid w:val="00501C07"/>
    <w:rsid w:val="0050223B"/>
    <w:rsid w:val="0050259B"/>
    <w:rsid w:val="0050363E"/>
    <w:rsid w:val="005039BC"/>
    <w:rsid w:val="00503BBE"/>
    <w:rsid w:val="005043BB"/>
    <w:rsid w:val="00504A3D"/>
    <w:rsid w:val="00505767"/>
    <w:rsid w:val="005073F0"/>
    <w:rsid w:val="00510A7B"/>
    <w:rsid w:val="0051137D"/>
    <w:rsid w:val="005122DB"/>
    <w:rsid w:val="00512F09"/>
    <w:rsid w:val="00512F6E"/>
    <w:rsid w:val="00513038"/>
    <w:rsid w:val="00514174"/>
    <w:rsid w:val="00516088"/>
    <w:rsid w:val="00516B0B"/>
    <w:rsid w:val="00517F79"/>
    <w:rsid w:val="005220EC"/>
    <w:rsid w:val="00523F95"/>
    <w:rsid w:val="00524D65"/>
    <w:rsid w:val="00525B16"/>
    <w:rsid w:val="00533D04"/>
    <w:rsid w:val="0053436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F8D"/>
    <w:rsid w:val="00554293"/>
    <w:rsid w:val="00555044"/>
    <w:rsid w:val="00561475"/>
    <w:rsid w:val="00562308"/>
    <w:rsid w:val="0056487B"/>
    <w:rsid w:val="00564FB9"/>
    <w:rsid w:val="00573D9E"/>
    <w:rsid w:val="00577285"/>
    <w:rsid w:val="00577CC3"/>
    <w:rsid w:val="005801E3"/>
    <w:rsid w:val="0058088F"/>
    <w:rsid w:val="00581802"/>
    <w:rsid w:val="00582809"/>
    <w:rsid w:val="005836A8"/>
    <w:rsid w:val="0058409C"/>
    <w:rsid w:val="00584262"/>
    <w:rsid w:val="00586630"/>
    <w:rsid w:val="00586B49"/>
    <w:rsid w:val="00587ADD"/>
    <w:rsid w:val="00587BDB"/>
    <w:rsid w:val="005912DB"/>
    <w:rsid w:val="00593A49"/>
    <w:rsid w:val="005958CD"/>
    <w:rsid w:val="00596160"/>
    <w:rsid w:val="005964C2"/>
    <w:rsid w:val="005966E2"/>
    <w:rsid w:val="00597007"/>
    <w:rsid w:val="005A0966"/>
    <w:rsid w:val="005A11B7"/>
    <w:rsid w:val="005A260B"/>
    <w:rsid w:val="005A4A1B"/>
    <w:rsid w:val="005A5582"/>
    <w:rsid w:val="005A7830"/>
    <w:rsid w:val="005A7FCE"/>
    <w:rsid w:val="005B06B2"/>
    <w:rsid w:val="005B0F3F"/>
    <w:rsid w:val="005B1454"/>
    <w:rsid w:val="005B191C"/>
    <w:rsid w:val="005B4903"/>
    <w:rsid w:val="005B51CE"/>
    <w:rsid w:val="005B525C"/>
    <w:rsid w:val="005B5885"/>
    <w:rsid w:val="005B5CD7"/>
    <w:rsid w:val="005B6CF6"/>
    <w:rsid w:val="005B7422"/>
    <w:rsid w:val="005C29B8"/>
    <w:rsid w:val="005C41C9"/>
    <w:rsid w:val="005C5F21"/>
    <w:rsid w:val="005C6498"/>
    <w:rsid w:val="005C7156"/>
    <w:rsid w:val="005D0C75"/>
    <w:rsid w:val="005D4171"/>
    <w:rsid w:val="005D6A95"/>
    <w:rsid w:val="005D6B2C"/>
    <w:rsid w:val="005D6D9C"/>
    <w:rsid w:val="005E1D70"/>
    <w:rsid w:val="005E2335"/>
    <w:rsid w:val="005E2A8C"/>
    <w:rsid w:val="005E34CA"/>
    <w:rsid w:val="005E3C18"/>
    <w:rsid w:val="005E4250"/>
    <w:rsid w:val="005E47BF"/>
    <w:rsid w:val="005E6812"/>
    <w:rsid w:val="005E7881"/>
    <w:rsid w:val="005E78E0"/>
    <w:rsid w:val="005E7D1A"/>
    <w:rsid w:val="005F0D9C"/>
    <w:rsid w:val="005F284E"/>
    <w:rsid w:val="005F3475"/>
    <w:rsid w:val="005F3FD4"/>
    <w:rsid w:val="005F78F4"/>
    <w:rsid w:val="006015CE"/>
    <w:rsid w:val="00604784"/>
    <w:rsid w:val="00604E9E"/>
    <w:rsid w:val="00606419"/>
    <w:rsid w:val="00607D29"/>
    <w:rsid w:val="00610148"/>
    <w:rsid w:val="0061205B"/>
    <w:rsid w:val="00612952"/>
    <w:rsid w:val="006130B9"/>
    <w:rsid w:val="00614CC1"/>
    <w:rsid w:val="00615A9D"/>
    <w:rsid w:val="00617387"/>
    <w:rsid w:val="006205D6"/>
    <w:rsid w:val="006236FA"/>
    <w:rsid w:val="00624A96"/>
    <w:rsid w:val="006252D8"/>
    <w:rsid w:val="006259BC"/>
    <w:rsid w:val="00625C9B"/>
    <w:rsid w:val="0062636B"/>
    <w:rsid w:val="00627EC1"/>
    <w:rsid w:val="006312E3"/>
    <w:rsid w:val="006319CE"/>
    <w:rsid w:val="00632182"/>
    <w:rsid w:val="0063266E"/>
    <w:rsid w:val="006329B3"/>
    <w:rsid w:val="00632AE0"/>
    <w:rsid w:val="00633C17"/>
    <w:rsid w:val="00634D9E"/>
    <w:rsid w:val="0063584E"/>
    <w:rsid w:val="00636E3E"/>
    <w:rsid w:val="006379F7"/>
    <w:rsid w:val="00637E4D"/>
    <w:rsid w:val="00640620"/>
    <w:rsid w:val="00641A1F"/>
    <w:rsid w:val="00645904"/>
    <w:rsid w:val="0064637D"/>
    <w:rsid w:val="00646420"/>
    <w:rsid w:val="00647D69"/>
    <w:rsid w:val="006514B4"/>
    <w:rsid w:val="00651ACB"/>
    <w:rsid w:val="00651C47"/>
    <w:rsid w:val="006528D4"/>
    <w:rsid w:val="00652AB2"/>
    <w:rsid w:val="00652E18"/>
    <w:rsid w:val="00653FED"/>
    <w:rsid w:val="006544C0"/>
    <w:rsid w:val="00654552"/>
    <w:rsid w:val="00654EC0"/>
    <w:rsid w:val="0065525B"/>
    <w:rsid w:val="00655D4F"/>
    <w:rsid w:val="00656D29"/>
    <w:rsid w:val="00661370"/>
    <w:rsid w:val="006640E5"/>
    <w:rsid w:val="006646F1"/>
    <w:rsid w:val="00664929"/>
    <w:rsid w:val="00664F62"/>
    <w:rsid w:val="006655E1"/>
    <w:rsid w:val="00667043"/>
    <w:rsid w:val="00672060"/>
    <w:rsid w:val="006725E7"/>
    <w:rsid w:val="00672BFD"/>
    <w:rsid w:val="00676207"/>
    <w:rsid w:val="006770F4"/>
    <w:rsid w:val="00677A84"/>
    <w:rsid w:val="0068026D"/>
    <w:rsid w:val="0068074D"/>
    <w:rsid w:val="00680A27"/>
    <w:rsid w:val="006816A4"/>
    <w:rsid w:val="006819B8"/>
    <w:rsid w:val="006840A6"/>
    <w:rsid w:val="006850CD"/>
    <w:rsid w:val="00685AAB"/>
    <w:rsid w:val="00685B5D"/>
    <w:rsid w:val="00687EAC"/>
    <w:rsid w:val="0069277C"/>
    <w:rsid w:val="00696220"/>
    <w:rsid w:val="006A07AA"/>
    <w:rsid w:val="006A25E5"/>
    <w:rsid w:val="006A2B46"/>
    <w:rsid w:val="006A336D"/>
    <w:rsid w:val="006A37B9"/>
    <w:rsid w:val="006A68C2"/>
    <w:rsid w:val="006B1801"/>
    <w:rsid w:val="006B2672"/>
    <w:rsid w:val="006B37B4"/>
    <w:rsid w:val="006B54BF"/>
    <w:rsid w:val="006B5F44"/>
    <w:rsid w:val="006B5F90"/>
    <w:rsid w:val="006B62E4"/>
    <w:rsid w:val="006B7CD0"/>
    <w:rsid w:val="006C1BBA"/>
    <w:rsid w:val="006C2079"/>
    <w:rsid w:val="006C47E3"/>
    <w:rsid w:val="006C5A62"/>
    <w:rsid w:val="006C5D68"/>
    <w:rsid w:val="006C6976"/>
    <w:rsid w:val="006C6DD0"/>
    <w:rsid w:val="006D04EA"/>
    <w:rsid w:val="006D16C4"/>
    <w:rsid w:val="006D3E96"/>
    <w:rsid w:val="006D4515"/>
    <w:rsid w:val="006D4623"/>
    <w:rsid w:val="006D4BB1"/>
    <w:rsid w:val="006D59CC"/>
    <w:rsid w:val="006D6593"/>
    <w:rsid w:val="006E1892"/>
    <w:rsid w:val="006E1A95"/>
    <w:rsid w:val="006E1FCB"/>
    <w:rsid w:val="006E7E1C"/>
    <w:rsid w:val="006F03A8"/>
    <w:rsid w:val="006F2ACA"/>
    <w:rsid w:val="006F2ADC"/>
    <w:rsid w:val="006F2BFE"/>
    <w:rsid w:val="006F31E9"/>
    <w:rsid w:val="006F617E"/>
    <w:rsid w:val="006F6284"/>
    <w:rsid w:val="006F7ECF"/>
    <w:rsid w:val="007002C5"/>
    <w:rsid w:val="00701A54"/>
    <w:rsid w:val="00703CB5"/>
    <w:rsid w:val="00704387"/>
    <w:rsid w:val="007048C2"/>
    <w:rsid w:val="00704A85"/>
    <w:rsid w:val="007062F1"/>
    <w:rsid w:val="00707669"/>
    <w:rsid w:val="0070789C"/>
    <w:rsid w:val="00711CBA"/>
    <w:rsid w:val="00711FB5"/>
    <w:rsid w:val="00712A01"/>
    <w:rsid w:val="00714F58"/>
    <w:rsid w:val="00715BC6"/>
    <w:rsid w:val="00722FBF"/>
    <w:rsid w:val="00722FC2"/>
    <w:rsid w:val="007231A3"/>
    <w:rsid w:val="00724B1D"/>
    <w:rsid w:val="00724D93"/>
    <w:rsid w:val="00724E1B"/>
    <w:rsid w:val="00725949"/>
    <w:rsid w:val="00727FA2"/>
    <w:rsid w:val="00731D28"/>
    <w:rsid w:val="007322D9"/>
    <w:rsid w:val="00732593"/>
    <w:rsid w:val="00732BC0"/>
    <w:rsid w:val="0073332E"/>
    <w:rsid w:val="0073720F"/>
    <w:rsid w:val="00737796"/>
    <w:rsid w:val="00737F44"/>
    <w:rsid w:val="007412A5"/>
    <w:rsid w:val="0074165C"/>
    <w:rsid w:val="00742C35"/>
    <w:rsid w:val="007432CA"/>
    <w:rsid w:val="007439EB"/>
    <w:rsid w:val="00743CB4"/>
    <w:rsid w:val="00743F0A"/>
    <w:rsid w:val="007444E8"/>
    <w:rsid w:val="0074548E"/>
    <w:rsid w:val="00745773"/>
    <w:rsid w:val="00746800"/>
    <w:rsid w:val="00747F97"/>
    <w:rsid w:val="00747FC9"/>
    <w:rsid w:val="007501A8"/>
    <w:rsid w:val="00750254"/>
    <w:rsid w:val="00750D61"/>
    <w:rsid w:val="00750EE1"/>
    <w:rsid w:val="00752B4D"/>
    <w:rsid w:val="00755402"/>
    <w:rsid w:val="007559A0"/>
    <w:rsid w:val="00756B26"/>
    <w:rsid w:val="00756EDF"/>
    <w:rsid w:val="00757988"/>
    <w:rsid w:val="007600E3"/>
    <w:rsid w:val="00762934"/>
    <w:rsid w:val="007652BF"/>
    <w:rsid w:val="00765C43"/>
    <w:rsid w:val="00765EFB"/>
    <w:rsid w:val="00766E2D"/>
    <w:rsid w:val="007671CA"/>
    <w:rsid w:val="00767C61"/>
    <w:rsid w:val="0077008A"/>
    <w:rsid w:val="00771F99"/>
    <w:rsid w:val="00773C1F"/>
    <w:rsid w:val="00774DA4"/>
    <w:rsid w:val="00776599"/>
    <w:rsid w:val="007810BE"/>
    <w:rsid w:val="0078114B"/>
    <w:rsid w:val="007818B9"/>
    <w:rsid w:val="00781DD2"/>
    <w:rsid w:val="00783ECF"/>
    <w:rsid w:val="0078413A"/>
    <w:rsid w:val="00785212"/>
    <w:rsid w:val="007913D3"/>
    <w:rsid w:val="0079449C"/>
    <w:rsid w:val="00795437"/>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3C0"/>
    <w:rsid w:val="007B653B"/>
    <w:rsid w:val="007B68EA"/>
    <w:rsid w:val="007B7453"/>
    <w:rsid w:val="007C2D89"/>
    <w:rsid w:val="007C39D7"/>
    <w:rsid w:val="007C4593"/>
    <w:rsid w:val="007C4CEB"/>
    <w:rsid w:val="007C5309"/>
    <w:rsid w:val="007C5E43"/>
    <w:rsid w:val="007C6069"/>
    <w:rsid w:val="007D06C4"/>
    <w:rsid w:val="007D1352"/>
    <w:rsid w:val="007D2508"/>
    <w:rsid w:val="007D25A0"/>
    <w:rsid w:val="007D346A"/>
    <w:rsid w:val="007D6518"/>
    <w:rsid w:val="007D76BD"/>
    <w:rsid w:val="007E0BF1"/>
    <w:rsid w:val="007E1758"/>
    <w:rsid w:val="007E5268"/>
    <w:rsid w:val="007E6086"/>
    <w:rsid w:val="007F0ED8"/>
    <w:rsid w:val="007F0F63"/>
    <w:rsid w:val="007F51E9"/>
    <w:rsid w:val="007F75CE"/>
    <w:rsid w:val="00800360"/>
    <w:rsid w:val="00800553"/>
    <w:rsid w:val="008013A4"/>
    <w:rsid w:val="00801C28"/>
    <w:rsid w:val="008027CE"/>
    <w:rsid w:val="00802A00"/>
    <w:rsid w:val="00802F42"/>
    <w:rsid w:val="00803982"/>
    <w:rsid w:val="00804383"/>
    <w:rsid w:val="008044CF"/>
    <w:rsid w:val="00804BB7"/>
    <w:rsid w:val="00804D41"/>
    <w:rsid w:val="008071AA"/>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B4B"/>
    <w:rsid w:val="008269DD"/>
    <w:rsid w:val="00827573"/>
    <w:rsid w:val="00830621"/>
    <w:rsid w:val="00832AFB"/>
    <w:rsid w:val="0083348C"/>
    <w:rsid w:val="008373D3"/>
    <w:rsid w:val="00840617"/>
    <w:rsid w:val="00840F84"/>
    <w:rsid w:val="00841B11"/>
    <w:rsid w:val="00842A47"/>
    <w:rsid w:val="00843C13"/>
    <w:rsid w:val="00843DEF"/>
    <w:rsid w:val="008454F8"/>
    <w:rsid w:val="0085173A"/>
    <w:rsid w:val="00854E68"/>
    <w:rsid w:val="0086009E"/>
    <w:rsid w:val="008603CE"/>
    <w:rsid w:val="008620FC"/>
    <w:rsid w:val="008627A5"/>
    <w:rsid w:val="00863E05"/>
    <w:rsid w:val="00865ACA"/>
    <w:rsid w:val="00865D28"/>
    <w:rsid w:val="00865F85"/>
    <w:rsid w:val="008668D3"/>
    <w:rsid w:val="00867C10"/>
    <w:rsid w:val="00870439"/>
    <w:rsid w:val="00870DA1"/>
    <w:rsid w:val="0087107C"/>
    <w:rsid w:val="00875746"/>
    <w:rsid w:val="00877B31"/>
    <w:rsid w:val="0088303E"/>
    <w:rsid w:val="00883F93"/>
    <w:rsid w:val="00884DB3"/>
    <w:rsid w:val="00885A9D"/>
    <w:rsid w:val="008864F6"/>
    <w:rsid w:val="00887CA8"/>
    <w:rsid w:val="00887E7F"/>
    <w:rsid w:val="0089049D"/>
    <w:rsid w:val="00891503"/>
    <w:rsid w:val="008928C9"/>
    <w:rsid w:val="00892A62"/>
    <w:rsid w:val="008930CB"/>
    <w:rsid w:val="008938DC"/>
    <w:rsid w:val="00893B8F"/>
    <w:rsid w:val="00893FD1"/>
    <w:rsid w:val="00894836"/>
    <w:rsid w:val="00895172"/>
    <w:rsid w:val="00895680"/>
    <w:rsid w:val="00895F72"/>
    <w:rsid w:val="00896DFF"/>
    <w:rsid w:val="0089762C"/>
    <w:rsid w:val="008A173B"/>
    <w:rsid w:val="008A1893"/>
    <w:rsid w:val="008A57E6"/>
    <w:rsid w:val="008A6F81"/>
    <w:rsid w:val="008A769A"/>
    <w:rsid w:val="008B0C9C"/>
    <w:rsid w:val="008B166D"/>
    <w:rsid w:val="008B17F4"/>
    <w:rsid w:val="008B341E"/>
    <w:rsid w:val="008B3615"/>
    <w:rsid w:val="008B4398"/>
    <w:rsid w:val="008B4AC4"/>
    <w:rsid w:val="008B50C8"/>
    <w:rsid w:val="008B5281"/>
    <w:rsid w:val="008B5C52"/>
    <w:rsid w:val="008B5C69"/>
    <w:rsid w:val="008B7E05"/>
    <w:rsid w:val="008C1797"/>
    <w:rsid w:val="008C219C"/>
    <w:rsid w:val="008C475E"/>
    <w:rsid w:val="008C5F13"/>
    <w:rsid w:val="008C619A"/>
    <w:rsid w:val="008C7BE3"/>
    <w:rsid w:val="008D0CE8"/>
    <w:rsid w:val="008D221E"/>
    <w:rsid w:val="008D2D1D"/>
    <w:rsid w:val="008D453D"/>
    <w:rsid w:val="008D47EF"/>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2C0"/>
    <w:rsid w:val="008F4C29"/>
    <w:rsid w:val="008F4E6B"/>
    <w:rsid w:val="008F5D4C"/>
    <w:rsid w:val="008F70BD"/>
    <w:rsid w:val="008F788F"/>
    <w:rsid w:val="008F7EA2"/>
    <w:rsid w:val="009013D3"/>
    <w:rsid w:val="00902722"/>
    <w:rsid w:val="009027BC"/>
    <w:rsid w:val="00905CB9"/>
    <w:rsid w:val="009062E6"/>
    <w:rsid w:val="00910F21"/>
    <w:rsid w:val="00911BE5"/>
    <w:rsid w:val="00911F11"/>
    <w:rsid w:val="00913CA9"/>
    <w:rsid w:val="009145AE"/>
    <w:rsid w:val="009146CE"/>
    <w:rsid w:val="00914CA7"/>
    <w:rsid w:val="00915C3E"/>
    <w:rsid w:val="009161A8"/>
    <w:rsid w:val="00917990"/>
    <w:rsid w:val="00920671"/>
    <w:rsid w:val="009211B4"/>
    <w:rsid w:val="009245AE"/>
    <w:rsid w:val="009245F5"/>
    <w:rsid w:val="009249EC"/>
    <w:rsid w:val="0092717C"/>
    <w:rsid w:val="009273B3"/>
    <w:rsid w:val="009305B5"/>
    <w:rsid w:val="00930C67"/>
    <w:rsid w:val="009378DD"/>
    <w:rsid w:val="009429D5"/>
    <w:rsid w:val="00942BF1"/>
    <w:rsid w:val="00943CEF"/>
    <w:rsid w:val="00945180"/>
    <w:rsid w:val="00945428"/>
    <w:rsid w:val="0094607B"/>
    <w:rsid w:val="009504BD"/>
    <w:rsid w:val="00953604"/>
    <w:rsid w:val="0095496B"/>
    <w:rsid w:val="00957383"/>
    <w:rsid w:val="00960F1E"/>
    <w:rsid w:val="009610DC"/>
    <w:rsid w:val="00961490"/>
    <w:rsid w:val="0096172A"/>
    <w:rsid w:val="009629DF"/>
    <w:rsid w:val="0096381A"/>
    <w:rsid w:val="00964DE5"/>
    <w:rsid w:val="00965E04"/>
    <w:rsid w:val="009674AD"/>
    <w:rsid w:val="00970CDC"/>
    <w:rsid w:val="009748F8"/>
    <w:rsid w:val="00974EB3"/>
    <w:rsid w:val="00975727"/>
    <w:rsid w:val="00975994"/>
    <w:rsid w:val="00977010"/>
    <w:rsid w:val="00977D02"/>
    <w:rsid w:val="00977FF9"/>
    <w:rsid w:val="009809BB"/>
    <w:rsid w:val="0098364B"/>
    <w:rsid w:val="00984CB1"/>
    <w:rsid w:val="009908A3"/>
    <w:rsid w:val="009911AF"/>
    <w:rsid w:val="00991875"/>
    <w:rsid w:val="00991EE9"/>
    <w:rsid w:val="00991F92"/>
    <w:rsid w:val="00992985"/>
    <w:rsid w:val="00993889"/>
    <w:rsid w:val="0099551B"/>
    <w:rsid w:val="00996BD2"/>
    <w:rsid w:val="00997931"/>
    <w:rsid w:val="00997BF1"/>
    <w:rsid w:val="009A089C"/>
    <w:rsid w:val="009A118E"/>
    <w:rsid w:val="009A11DB"/>
    <w:rsid w:val="009A21CD"/>
    <w:rsid w:val="009A278C"/>
    <w:rsid w:val="009A2BC2"/>
    <w:rsid w:val="009A42C1"/>
    <w:rsid w:val="009A4C22"/>
    <w:rsid w:val="009A534A"/>
    <w:rsid w:val="009A5429"/>
    <w:rsid w:val="009A689E"/>
    <w:rsid w:val="009A72AD"/>
    <w:rsid w:val="009A7BCB"/>
    <w:rsid w:val="009B017B"/>
    <w:rsid w:val="009B09E0"/>
    <w:rsid w:val="009B0BC5"/>
    <w:rsid w:val="009B1247"/>
    <w:rsid w:val="009B58E7"/>
    <w:rsid w:val="009B6029"/>
    <w:rsid w:val="009B6971"/>
    <w:rsid w:val="009B6C91"/>
    <w:rsid w:val="009C0CF5"/>
    <w:rsid w:val="009C2729"/>
    <w:rsid w:val="009C27F1"/>
    <w:rsid w:val="009C3152"/>
    <w:rsid w:val="009C3257"/>
    <w:rsid w:val="009C47FA"/>
    <w:rsid w:val="009C4CFA"/>
    <w:rsid w:val="009C5070"/>
    <w:rsid w:val="009D112C"/>
    <w:rsid w:val="009D1385"/>
    <w:rsid w:val="009D4391"/>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DC6"/>
    <w:rsid w:val="00A06A6B"/>
    <w:rsid w:val="00A07E47"/>
    <w:rsid w:val="00A129D0"/>
    <w:rsid w:val="00A12C33"/>
    <w:rsid w:val="00A138BA"/>
    <w:rsid w:val="00A14C8E"/>
    <w:rsid w:val="00A153D9"/>
    <w:rsid w:val="00A15F09"/>
    <w:rsid w:val="00A169B6"/>
    <w:rsid w:val="00A2271D"/>
    <w:rsid w:val="00A237D5"/>
    <w:rsid w:val="00A24310"/>
    <w:rsid w:val="00A251FF"/>
    <w:rsid w:val="00A30EFC"/>
    <w:rsid w:val="00A31984"/>
    <w:rsid w:val="00A32D73"/>
    <w:rsid w:val="00A3367B"/>
    <w:rsid w:val="00A33C67"/>
    <w:rsid w:val="00A34139"/>
    <w:rsid w:val="00A3597D"/>
    <w:rsid w:val="00A35D04"/>
    <w:rsid w:val="00A36DD1"/>
    <w:rsid w:val="00A4006C"/>
    <w:rsid w:val="00A40076"/>
    <w:rsid w:val="00A40091"/>
    <w:rsid w:val="00A4030F"/>
    <w:rsid w:val="00A41C79"/>
    <w:rsid w:val="00A41CB5"/>
    <w:rsid w:val="00A42CDF"/>
    <w:rsid w:val="00A43D00"/>
    <w:rsid w:val="00A4452E"/>
    <w:rsid w:val="00A4472C"/>
    <w:rsid w:val="00A44E69"/>
    <w:rsid w:val="00A4577E"/>
    <w:rsid w:val="00A4661E"/>
    <w:rsid w:val="00A46B8E"/>
    <w:rsid w:val="00A509B2"/>
    <w:rsid w:val="00A55158"/>
    <w:rsid w:val="00A5586D"/>
    <w:rsid w:val="00A55BD6"/>
    <w:rsid w:val="00A55D50"/>
    <w:rsid w:val="00A55F9F"/>
    <w:rsid w:val="00A57142"/>
    <w:rsid w:val="00A57614"/>
    <w:rsid w:val="00A62311"/>
    <w:rsid w:val="00A63265"/>
    <w:rsid w:val="00A647F9"/>
    <w:rsid w:val="00A648CD"/>
    <w:rsid w:val="00A6537A"/>
    <w:rsid w:val="00A67866"/>
    <w:rsid w:val="00A70B07"/>
    <w:rsid w:val="00A71FD7"/>
    <w:rsid w:val="00A7222C"/>
    <w:rsid w:val="00A723F8"/>
    <w:rsid w:val="00A77C65"/>
    <w:rsid w:val="00A77CCB"/>
    <w:rsid w:val="00A83D8D"/>
    <w:rsid w:val="00A83DA3"/>
    <w:rsid w:val="00A8446B"/>
    <w:rsid w:val="00A8473F"/>
    <w:rsid w:val="00A862D6"/>
    <w:rsid w:val="00A8715E"/>
    <w:rsid w:val="00A9295B"/>
    <w:rsid w:val="00A93B09"/>
    <w:rsid w:val="00A95134"/>
    <w:rsid w:val="00A952D7"/>
    <w:rsid w:val="00A95BD3"/>
    <w:rsid w:val="00A95D1D"/>
    <w:rsid w:val="00A963D4"/>
    <w:rsid w:val="00A963F7"/>
    <w:rsid w:val="00A969D3"/>
    <w:rsid w:val="00A96AD8"/>
    <w:rsid w:val="00AA052C"/>
    <w:rsid w:val="00AA1E45"/>
    <w:rsid w:val="00AA4286"/>
    <w:rsid w:val="00AA4459"/>
    <w:rsid w:val="00AA456B"/>
    <w:rsid w:val="00AA57F5"/>
    <w:rsid w:val="00AA672E"/>
    <w:rsid w:val="00AA6EC9"/>
    <w:rsid w:val="00AB17D1"/>
    <w:rsid w:val="00AB1889"/>
    <w:rsid w:val="00AB6309"/>
    <w:rsid w:val="00AB6C5F"/>
    <w:rsid w:val="00AB7129"/>
    <w:rsid w:val="00AC27A6"/>
    <w:rsid w:val="00AC30F7"/>
    <w:rsid w:val="00AC3A5A"/>
    <w:rsid w:val="00AC4D95"/>
    <w:rsid w:val="00AC5DF4"/>
    <w:rsid w:val="00AD0A21"/>
    <w:rsid w:val="00AD0AEF"/>
    <w:rsid w:val="00AD11B7"/>
    <w:rsid w:val="00AD13C0"/>
    <w:rsid w:val="00AD1A94"/>
    <w:rsid w:val="00AD1C05"/>
    <w:rsid w:val="00AD3449"/>
    <w:rsid w:val="00AD4126"/>
    <w:rsid w:val="00AD421C"/>
    <w:rsid w:val="00AD44FA"/>
    <w:rsid w:val="00AD5B81"/>
    <w:rsid w:val="00AD6845"/>
    <w:rsid w:val="00AE070A"/>
    <w:rsid w:val="00AE0D24"/>
    <w:rsid w:val="00AE101C"/>
    <w:rsid w:val="00AE2A69"/>
    <w:rsid w:val="00AE37E5"/>
    <w:rsid w:val="00AE5EB4"/>
    <w:rsid w:val="00AE6E1C"/>
    <w:rsid w:val="00AE6E87"/>
    <w:rsid w:val="00AF00FB"/>
    <w:rsid w:val="00AF0C18"/>
    <w:rsid w:val="00AF1EA3"/>
    <w:rsid w:val="00AF3668"/>
    <w:rsid w:val="00AF47C5"/>
    <w:rsid w:val="00AF5398"/>
    <w:rsid w:val="00AF61A4"/>
    <w:rsid w:val="00B00194"/>
    <w:rsid w:val="00B01D41"/>
    <w:rsid w:val="00B036E3"/>
    <w:rsid w:val="00B049AF"/>
    <w:rsid w:val="00B06CDB"/>
    <w:rsid w:val="00B07242"/>
    <w:rsid w:val="00B073AD"/>
    <w:rsid w:val="00B1015A"/>
    <w:rsid w:val="00B102DB"/>
    <w:rsid w:val="00B10534"/>
    <w:rsid w:val="00B113DB"/>
    <w:rsid w:val="00B11970"/>
    <w:rsid w:val="00B11D8A"/>
    <w:rsid w:val="00B122B5"/>
    <w:rsid w:val="00B12981"/>
    <w:rsid w:val="00B147DD"/>
    <w:rsid w:val="00B156FD"/>
    <w:rsid w:val="00B157B3"/>
    <w:rsid w:val="00B21F61"/>
    <w:rsid w:val="00B22364"/>
    <w:rsid w:val="00B2403E"/>
    <w:rsid w:val="00B2553D"/>
    <w:rsid w:val="00B261F1"/>
    <w:rsid w:val="00B265BC"/>
    <w:rsid w:val="00B26D77"/>
    <w:rsid w:val="00B302BF"/>
    <w:rsid w:val="00B31FB1"/>
    <w:rsid w:val="00B335DE"/>
    <w:rsid w:val="00B33952"/>
    <w:rsid w:val="00B33C5E"/>
    <w:rsid w:val="00B342F4"/>
    <w:rsid w:val="00B34369"/>
    <w:rsid w:val="00B34DC2"/>
    <w:rsid w:val="00B378E5"/>
    <w:rsid w:val="00B37CBD"/>
    <w:rsid w:val="00B412C8"/>
    <w:rsid w:val="00B42705"/>
    <w:rsid w:val="00B4346D"/>
    <w:rsid w:val="00B440F4"/>
    <w:rsid w:val="00B447A5"/>
    <w:rsid w:val="00B4654C"/>
    <w:rsid w:val="00B47293"/>
    <w:rsid w:val="00B50E50"/>
    <w:rsid w:val="00B51340"/>
    <w:rsid w:val="00B52120"/>
    <w:rsid w:val="00B54ABC"/>
    <w:rsid w:val="00B55176"/>
    <w:rsid w:val="00B56402"/>
    <w:rsid w:val="00B56745"/>
    <w:rsid w:val="00B56FBE"/>
    <w:rsid w:val="00B60ACF"/>
    <w:rsid w:val="00B61836"/>
    <w:rsid w:val="00B62B58"/>
    <w:rsid w:val="00B647AB"/>
    <w:rsid w:val="00B65149"/>
    <w:rsid w:val="00B66567"/>
    <w:rsid w:val="00B66F52"/>
    <w:rsid w:val="00B66FE5"/>
    <w:rsid w:val="00B67563"/>
    <w:rsid w:val="00B70C16"/>
    <w:rsid w:val="00B72880"/>
    <w:rsid w:val="00B758BF"/>
    <w:rsid w:val="00B765F8"/>
    <w:rsid w:val="00B77EC8"/>
    <w:rsid w:val="00B81B4F"/>
    <w:rsid w:val="00B827A6"/>
    <w:rsid w:val="00B831CE"/>
    <w:rsid w:val="00B842C8"/>
    <w:rsid w:val="00B85914"/>
    <w:rsid w:val="00B86677"/>
    <w:rsid w:val="00B86A9B"/>
    <w:rsid w:val="00B87131"/>
    <w:rsid w:val="00B911CC"/>
    <w:rsid w:val="00B91EFE"/>
    <w:rsid w:val="00B939B1"/>
    <w:rsid w:val="00B93B0A"/>
    <w:rsid w:val="00B957ED"/>
    <w:rsid w:val="00B95CBA"/>
    <w:rsid w:val="00B96D40"/>
    <w:rsid w:val="00B97386"/>
    <w:rsid w:val="00B97F4F"/>
    <w:rsid w:val="00BA025C"/>
    <w:rsid w:val="00BA263B"/>
    <w:rsid w:val="00BA42B2"/>
    <w:rsid w:val="00BA53BA"/>
    <w:rsid w:val="00BA58D4"/>
    <w:rsid w:val="00BA5B9E"/>
    <w:rsid w:val="00BA7C9A"/>
    <w:rsid w:val="00BA7D92"/>
    <w:rsid w:val="00BB0EE3"/>
    <w:rsid w:val="00BB574C"/>
    <w:rsid w:val="00BB5F8F"/>
    <w:rsid w:val="00BB657A"/>
    <w:rsid w:val="00BC113C"/>
    <w:rsid w:val="00BC18F8"/>
    <w:rsid w:val="00BC1A4E"/>
    <w:rsid w:val="00BC5DC7"/>
    <w:rsid w:val="00BC6B8B"/>
    <w:rsid w:val="00BC73D8"/>
    <w:rsid w:val="00BC757E"/>
    <w:rsid w:val="00BD0EC6"/>
    <w:rsid w:val="00BD2B01"/>
    <w:rsid w:val="00BD2F50"/>
    <w:rsid w:val="00BD3337"/>
    <w:rsid w:val="00BD40C3"/>
    <w:rsid w:val="00BD443B"/>
    <w:rsid w:val="00BD4A8A"/>
    <w:rsid w:val="00BD52D7"/>
    <w:rsid w:val="00BD5AD2"/>
    <w:rsid w:val="00BE22F3"/>
    <w:rsid w:val="00BE2B7B"/>
    <w:rsid w:val="00BE3DDC"/>
    <w:rsid w:val="00BE3E1D"/>
    <w:rsid w:val="00BE4F78"/>
    <w:rsid w:val="00BE5B52"/>
    <w:rsid w:val="00BE77B7"/>
    <w:rsid w:val="00BE7B8D"/>
    <w:rsid w:val="00BF0400"/>
    <w:rsid w:val="00BF0993"/>
    <w:rsid w:val="00BF10A9"/>
    <w:rsid w:val="00BF1703"/>
    <w:rsid w:val="00BF231C"/>
    <w:rsid w:val="00BF3A7D"/>
    <w:rsid w:val="00BF4DEE"/>
    <w:rsid w:val="00BF51E5"/>
    <w:rsid w:val="00BF74A6"/>
    <w:rsid w:val="00BF762A"/>
    <w:rsid w:val="00BF7B3D"/>
    <w:rsid w:val="00C013AD"/>
    <w:rsid w:val="00C02876"/>
    <w:rsid w:val="00C04904"/>
    <w:rsid w:val="00C04935"/>
    <w:rsid w:val="00C056B3"/>
    <w:rsid w:val="00C070B6"/>
    <w:rsid w:val="00C103E5"/>
    <w:rsid w:val="00C1222E"/>
    <w:rsid w:val="00C13319"/>
    <w:rsid w:val="00C13EE9"/>
    <w:rsid w:val="00C166FC"/>
    <w:rsid w:val="00C21540"/>
    <w:rsid w:val="00C21906"/>
    <w:rsid w:val="00C21BFA"/>
    <w:rsid w:val="00C23C7E"/>
    <w:rsid w:val="00C24C8D"/>
    <w:rsid w:val="00C25FE2"/>
    <w:rsid w:val="00C26B53"/>
    <w:rsid w:val="00C279B2"/>
    <w:rsid w:val="00C31C71"/>
    <w:rsid w:val="00C32C13"/>
    <w:rsid w:val="00C33E50"/>
    <w:rsid w:val="00C348DC"/>
    <w:rsid w:val="00C34C20"/>
    <w:rsid w:val="00C34E1F"/>
    <w:rsid w:val="00C35A3E"/>
    <w:rsid w:val="00C37C68"/>
    <w:rsid w:val="00C40CA7"/>
    <w:rsid w:val="00C40F57"/>
    <w:rsid w:val="00C42130"/>
    <w:rsid w:val="00C423A4"/>
    <w:rsid w:val="00C423E3"/>
    <w:rsid w:val="00C44BF5"/>
    <w:rsid w:val="00C457E5"/>
    <w:rsid w:val="00C50AA6"/>
    <w:rsid w:val="00C521D6"/>
    <w:rsid w:val="00C533B1"/>
    <w:rsid w:val="00C53696"/>
    <w:rsid w:val="00C55232"/>
    <w:rsid w:val="00C553A4"/>
    <w:rsid w:val="00C55438"/>
    <w:rsid w:val="00C55A06"/>
    <w:rsid w:val="00C55AF6"/>
    <w:rsid w:val="00C55D03"/>
    <w:rsid w:val="00C56192"/>
    <w:rsid w:val="00C601BC"/>
    <w:rsid w:val="00C619E1"/>
    <w:rsid w:val="00C62AA3"/>
    <w:rsid w:val="00C6329F"/>
    <w:rsid w:val="00C63340"/>
    <w:rsid w:val="00C643F9"/>
    <w:rsid w:val="00C64E95"/>
    <w:rsid w:val="00C676C7"/>
    <w:rsid w:val="00C71372"/>
    <w:rsid w:val="00C72410"/>
    <w:rsid w:val="00C7287F"/>
    <w:rsid w:val="00C803FF"/>
    <w:rsid w:val="00C80CB8"/>
    <w:rsid w:val="00C819F8"/>
    <w:rsid w:val="00C8248C"/>
    <w:rsid w:val="00C84E33"/>
    <w:rsid w:val="00C85CB5"/>
    <w:rsid w:val="00C85E64"/>
    <w:rsid w:val="00C86D6F"/>
    <w:rsid w:val="00C905FC"/>
    <w:rsid w:val="00C92D03"/>
    <w:rsid w:val="00C9319C"/>
    <w:rsid w:val="00C93408"/>
    <w:rsid w:val="00C940A1"/>
    <w:rsid w:val="00C9435D"/>
    <w:rsid w:val="00C94DF2"/>
    <w:rsid w:val="00C96741"/>
    <w:rsid w:val="00C9712B"/>
    <w:rsid w:val="00C97A52"/>
    <w:rsid w:val="00CA2026"/>
    <w:rsid w:val="00CA2D1B"/>
    <w:rsid w:val="00CA375D"/>
    <w:rsid w:val="00CA4F75"/>
    <w:rsid w:val="00CA662A"/>
    <w:rsid w:val="00CA676F"/>
    <w:rsid w:val="00CA7AFD"/>
    <w:rsid w:val="00CA7C3C"/>
    <w:rsid w:val="00CB0189"/>
    <w:rsid w:val="00CB08D4"/>
    <w:rsid w:val="00CB0BA2"/>
    <w:rsid w:val="00CB1549"/>
    <w:rsid w:val="00CB18D3"/>
    <w:rsid w:val="00CB1A42"/>
    <w:rsid w:val="00CB1B0C"/>
    <w:rsid w:val="00CB2C0B"/>
    <w:rsid w:val="00CB38FA"/>
    <w:rsid w:val="00CB3BF7"/>
    <w:rsid w:val="00CB517D"/>
    <w:rsid w:val="00CB73BB"/>
    <w:rsid w:val="00CC038D"/>
    <w:rsid w:val="00CC08DB"/>
    <w:rsid w:val="00CC39FF"/>
    <w:rsid w:val="00CC3C2F"/>
    <w:rsid w:val="00CC4AC8"/>
    <w:rsid w:val="00CC5233"/>
    <w:rsid w:val="00CC5DE6"/>
    <w:rsid w:val="00CC62F2"/>
    <w:rsid w:val="00CC6E4E"/>
    <w:rsid w:val="00CC6FE8"/>
    <w:rsid w:val="00CC7202"/>
    <w:rsid w:val="00CD082E"/>
    <w:rsid w:val="00CD2808"/>
    <w:rsid w:val="00CD28BF"/>
    <w:rsid w:val="00CD4092"/>
    <w:rsid w:val="00CD45BD"/>
    <w:rsid w:val="00CD4A20"/>
    <w:rsid w:val="00CD4D40"/>
    <w:rsid w:val="00CD50A1"/>
    <w:rsid w:val="00CD519E"/>
    <w:rsid w:val="00CE0C4F"/>
    <w:rsid w:val="00CE30EA"/>
    <w:rsid w:val="00CE453E"/>
    <w:rsid w:val="00CE770B"/>
    <w:rsid w:val="00CE7748"/>
    <w:rsid w:val="00CF048A"/>
    <w:rsid w:val="00CF155A"/>
    <w:rsid w:val="00CF2947"/>
    <w:rsid w:val="00CF53AD"/>
    <w:rsid w:val="00CF686F"/>
    <w:rsid w:val="00CF6E60"/>
    <w:rsid w:val="00CF7BCA"/>
    <w:rsid w:val="00D008FD"/>
    <w:rsid w:val="00D0321C"/>
    <w:rsid w:val="00D035EC"/>
    <w:rsid w:val="00D03FA0"/>
    <w:rsid w:val="00D06AB1"/>
    <w:rsid w:val="00D06FC1"/>
    <w:rsid w:val="00D072ED"/>
    <w:rsid w:val="00D07A16"/>
    <w:rsid w:val="00D1067E"/>
    <w:rsid w:val="00D10F50"/>
    <w:rsid w:val="00D11272"/>
    <w:rsid w:val="00D126F5"/>
    <w:rsid w:val="00D1489E"/>
    <w:rsid w:val="00D179C7"/>
    <w:rsid w:val="00D20737"/>
    <w:rsid w:val="00D20B41"/>
    <w:rsid w:val="00D21E81"/>
    <w:rsid w:val="00D223DE"/>
    <w:rsid w:val="00D25E37"/>
    <w:rsid w:val="00D2661A"/>
    <w:rsid w:val="00D27582"/>
    <w:rsid w:val="00D275F9"/>
    <w:rsid w:val="00D27EC4"/>
    <w:rsid w:val="00D3150A"/>
    <w:rsid w:val="00D32719"/>
    <w:rsid w:val="00D33333"/>
    <w:rsid w:val="00D352A2"/>
    <w:rsid w:val="00D40C13"/>
    <w:rsid w:val="00D4162B"/>
    <w:rsid w:val="00D43D8B"/>
    <w:rsid w:val="00D43EE1"/>
    <w:rsid w:val="00D4514F"/>
    <w:rsid w:val="00D451E2"/>
    <w:rsid w:val="00D45E89"/>
    <w:rsid w:val="00D45E8D"/>
    <w:rsid w:val="00D466AE"/>
    <w:rsid w:val="00D4734F"/>
    <w:rsid w:val="00D47F6B"/>
    <w:rsid w:val="00D51BF3"/>
    <w:rsid w:val="00D52336"/>
    <w:rsid w:val="00D6074D"/>
    <w:rsid w:val="00D62F06"/>
    <w:rsid w:val="00D631FB"/>
    <w:rsid w:val="00D63337"/>
    <w:rsid w:val="00D647FE"/>
    <w:rsid w:val="00D66846"/>
    <w:rsid w:val="00D669EB"/>
    <w:rsid w:val="00D675FB"/>
    <w:rsid w:val="00D70F4B"/>
    <w:rsid w:val="00D7159C"/>
    <w:rsid w:val="00D71F25"/>
    <w:rsid w:val="00D72A9C"/>
    <w:rsid w:val="00D752C6"/>
    <w:rsid w:val="00D75698"/>
    <w:rsid w:val="00D75F22"/>
    <w:rsid w:val="00D77031"/>
    <w:rsid w:val="00D807FB"/>
    <w:rsid w:val="00D8215B"/>
    <w:rsid w:val="00D84941"/>
    <w:rsid w:val="00D84FA1"/>
    <w:rsid w:val="00D851F0"/>
    <w:rsid w:val="00D85237"/>
    <w:rsid w:val="00D86DB7"/>
    <w:rsid w:val="00D87BF5"/>
    <w:rsid w:val="00D90721"/>
    <w:rsid w:val="00D926D0"/>
    <w:rsid w:val="00D93030"/>
    <w:rsid w:val="00D93A77"/>
    <w:rsid w:val="00D941BC"/>
    <w:rsid w:val="00D948FD"/>
    <w:rsid w:val="00D950E1"/>
    <w:rsid w:val="00D952A6"/>
    <w:rsid w:val="00D9575A"/>
    <w:rsid w:val="00D96374"/>
    <w:rsid w:val="00D97F99"/>
    <w:rsid w:val="00DA18C9"/>
    <w:rsid w:val="00DA1E08"/>
    <w:rsid w:val="00DA24F8"/>
    <w:rsid w:val="00DA28E8"/>
    <w:rsid w:val="00DA38D3"/>
    <w:rsid w:val="00DA3932"/>
    <w:rsid w:val="00DA3AFC"/>
    <w:rsid w:val="00DA64F8"/>
    <w:rsid w:val="00DA6C15"/>
    <w:rsid w:val="00DB0258"/>
    <w:rsid w:val="00DB1D5E"/>
    <w:rsid w:val="00DB38EE"/>
    <w:rsid w:val="00DB498B"/>
    <w:rsid w:val="00DB66CA"/>
    <w:rsid w:val="00DB689D"/>
    <w:rsid w:val="00DB6BCA"/>
    <w:rsid w:val="00DB6F54"/>
    <w:rsid w:val="00DB73F7"/>
    <w:rsid w:val="00DC0321"/>
    <w:rsid w:val="00DC046C"/>
    <w:rsid w:val="00DC11DC"/>
    <w:rsid w:val="00DC2D38"/>
    <w:rsid w:val="00DC3067"/>
    <w:rsid w:val="00DC370B"/>
    <w:rsid w:val="00DC5B90"/>
    <w:rsid w:val="00DC6924"/>
    <w:rsid w:val="00DC71AB"/>
    <w:rsid w:val="00DD00FF"/>
    <w:rsid w:val="00DD0619"/>
    <w:rsid w:val="00DD07FB"/>
    <w:rsid w:val="00DD25C6"/>
    <w:rsid w:val="00DD4FE5"/>
    <w:rsid w:val="00DD54B0"/>
    <w:rsid w:val="00DD57EE"/>
    <w:rsid w:val="00DD5B88"/>
    <w:rsid w:val="00DD691D"/>
    <w:rsid w:val="00DD6BCC"/>
    <w:rsid w:val="00DE0A4B"/>
    <w:rsid w:val="00DE14AE"/>
    <w:rsid w:val="00DE1D6E"/>
    <w:rsid w:val="00DE2410"/>
    <w:rsid w:val="00DE2939"/>
    <w:rsid w:val="00DE2CA3"/>
    <w:rsid w:val="00DE3829"/>
    <w:rsid w:val="00DE6E81"/>
    <w:rsid w:val="00DE703F"/>
    <w:rsid w:val="00DE7595"/>
    <w:rsid w:val="00DF1961"/>
    <w:rsid w:val="00DF3900"/>
    <w:rsid w:val="00DF44DE"/>
    <w:rsid w:val="00E01138"/>
    <w:rsid w:val="00E02DFB"/>
    <w:rsid w:val="00E030F9"/>
    <w:rsid w:val="00E0311A"/>
    <w:rsid w:val="00E03138"/>
    <w:rsid w:val="00E0443D"/>
    <w:rsid w:val="00E06404"/>
    <w:rsid w:val="00E10FAA"/>
    <w:rsid w:val="00E11A85"/>
    <w:rsid w:val="00E11ECC"/>
    <w:rsid w:val="00E12495"/>
    <w:rsid w:val="00E15CCD"/>
    <w:rsid w:val="00E202EF"/>
    <w:rsid w:val="00E20B66"/>
    <w:rsid w:val="00E210B5"/>
    <w:rsid w:val="00E2552F"/>
    <w:rsid w:val="00E26A84"/>
    <w:rsid w:val="00E27281"/>
    <w:rsid w:val="00E3137A"/>
    <w:rsid w:val="00E31693"/>
    <w:rsid w:val="00E3220C"/>
    <w:rsid w:val="00E32CCF"/>
    <w:rsid w:val="00E3466A"/>
    <w:rsid w:val="00E34A57"/>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B0D"/>
    <w:rsid w:val="00E60C63"/>
    <w:rsid w:val="00E61BBE"/>
    <w:rsid w:val="00E62EA8"/>
    <w:rsid w:val="00E62FF9"/>
    <w:rsid w:val="00E635D6"/>
    <w:rsid w:val="00E639BC"/>
    <w:rsid w:val="00E65169"/>
    <w:rsid w:val="00E664CC"/>
    <w:rsid w:val="00E70388"/>
    <w:rsid w:val="00E70F92"/>
    <w:rsid w:val="00E74313"/>
    <w:rsid w:val="00E74330"/>
    <w:rsid w:val="00E74C54"/>
    <w:rsid w:val="00E77A03"/>
    <w:rsid w:val="00E822E8"/>
    <w:rsid w:val="00E82554"/>
    <w:rsid w:val="00E82606"/>
    <w:rsid w:val="00E831C1"/>
    <w:rsid w:val="00E837AF"/>
    <w:rsid w:val="00E846C8"/>
    <w:rsid w:val="00E84957"/>
    <w:rsid w:val="00E84A55"/>
    <w:rsid w:val="00E85BFF"/>
    <w:rsid w:val="00E868DD"/>
    <w:rsid w:val="00E86D39"/>
    <w:rsid w:val="00E90391"/>
    <w:rsid w:val="00E906C2"/>
    <w:rsid w:val="00E92239"/>
    <w:rsid w:val="00E9311F"/>
    <w:rsid w:val="00E934D1"/>
    <w:rsid w:val="00E94AF0"/>
    <w:rsid w:val="00E95D13"/>
    <w:rsid w:val="00E95DD3"/>
    <w:rsid w:val="00E969D5"/>
    <w:rsid w:val="00E97730"/>
    <w:rsid w:val="00EA22D3"/>
    <w:rsid w:val="00EA529A"/>
    <w:rsid w:val="00EA58D1"/>
    <w:rsid w:val="00EA61BC"/>
    <w:rsid w:val="00EA681A"/>
    <w:rsid w:val="00EA735B"/>
    <w:rsid w:val="00EB1E69"/>
    <w:rsid w:val="00EB2086"/>
    <w:rsid w:val="00EB31ED"/>
    <w:rsid w:val="00EB5EDF"/>
    <w:rsid w:val="00EB60FE"/>
    <w:rsid w:val="00EB74A9"/>
    <w:rsid w:val="00EB74DB"/>
    <w:rsid w:val="00EC1C49"/>
    <w:rsid w:val="00EC5359"/>
    <w:rsid w:val="00EC562A"/>
    <w:rsid w:val="00EC5BEC"/>
    <w:rsid w:val="00EC7282"/>
    <w:rsid w:val="00EC7414"/>
    <w:rsid w:val="00ED067A"/>
    <w:rsid w:val="00ED1A9E"/>
    <w:rsid w:val="00ED2B50"/>
    <w:rsid w:val="00ED31B4"/>
    <w:rsid w:val="00ED5161"/>
    <w:rsid w:val="00EE02FE"/>
    <w:rsid w:val="00EE0350"/>
    <w:rsid w:val="00EE0719"/>
    <w:rsid w:val="00EE091A"/>
    <w:rsid w:val="00EE0E80"/>
    <w:rsid w:val="00EE322B"/>
    <w:rsid w:val="00EE41F8"/>
    <w:rsid w:val="00EE5947"/>
    <w:rsid w:val="00EE613F"/>
    <w:rsid w:val="00EE67EC"/>
    <w:rsid w:val="00EE6A6A"/>
    <w:rsid w:val="00EE7295"/>
    <w:rsid w:val="00EE7869"/>
    <w:rsid w:val="00EF054A"/>
    <w:rsid w:val="00EF1E93"/>
    <w:rsid w:val="00EF3235"/>
    <w:rsid w:val="00EF5185"/>
    <w:rsid w:val="00EF7E72"/>
    <w:rsid w:val="00F024F4"/>
    <w:rsid w:val="00F030C3"/>
    <w:rsid w:val="00F067C3"/>
    <w:rsid w:val="00F06D37"/>
    <w:rsid w:val="00F074DB"/>
    <w:rsid w:val="00F07B9D"/>
    <w:rsid w:val="00F10481"/>
    <w:rsid w:val="00F11586"/>
    <w:rsid w:val="00F1183B"/>
    <w:rsid w:val="00F11C9F"/>
    <w:rsid w:val="00F12263"/>
    <w:rsid w:val="00F1409D"/>
    <w:rsid w:val="00F14214"/>
    <w:rsid w:val="00F157A9"/>
    <w:rsid w:val="00F16F00"/>
    <w:rsid w:val="00F22D7C"/>
    <w:rsid w:val="00F234D2"/>
    <w:rsid w:val="00F25BB6"/>
    <w:rsid w:val="00F26B7E"/>
    <w:rsid w:val="00F272A3"/>
    <w:rsid w:val="00F27A3B"/>
    <w:rsid w:val="00F31256"/>
    <w:rsid w:val="00F32780"/>
    <w:rsid w:val="00F32832"/>
    <w:rsid w:val="00F33817"/>
    <w:rsid w:val="00F34572"/>
    <w:rsid w:val="00F4125D"/>
    <w:rsid w:val="00F41A5B"/>
    <w:rsid w:val="00F420D5"/>
    <w:rsid w:val="00F451EA"/>
    <w:rsid w:val="00F45447"/>
    <w:rsid w:val="00F456C6"/>
    <w:rsid w:val="00F4577B"/>
    <w:rsid w:val="00F46496"/>
    <w:rsid w:val="00F474D0"/>
    <w:rsid w:val="00F50179"/>
    <w:rsid w:val="00F515EE"/>
    <w:rsid w:val="00F52B77"/>
    <w:rsid w:val="00F56511"/>
    <w:rsid w:val="00F60F0B"/>
    <w:rsid w:val="00F6194E"/>
    <w:rsid w:val="00F623AC"/>
    <w:rsid w:val="00F6308B"/>
    <w:rsid w:val="00F63321"/>
    <w:rsid w:val="00F638B2"/>
    <w:rsid w:val="00F6412A"/>
    <w:rsid w:val="00F64F70"/>
    <w:rsid w:val="00F65893"/>
    <w:rsid w:val="00F66A4A"/>
    <w:rsid w:val="00F70D6C"/>
    <w:rsid w:val="00F71E22"/>
    <w:rsid w:val="00F72142"/>
    <w:rsid w:val="00F72AE7"/>
    <w:rsid w:val="00F8104B"/>
    <w:rsid w:val="00F8263D"/>
    <w:rsid w:val="00F82F60"/>
    <w:rsid w:val="00F833BA"/>
    <w:rsid w:val="00F84FD0"/>
    <w:rsid w:val="00F859A8"/>
    <w:rsid w:val="00F86D87"/>
    <w:rsid w:val="00F9108B"/>
    <w:rsid w:val="00F91349"/>
    <w:rsid w:val="00F93A8A"/>
    <w:rsid w:val="00F95248"/>
    <w:rsid w:val="00F95673"/>
    <w:rsid w:val="00F956A9"/>
    <w:rsid w:val="00F963ED"/>
    <w:rsid w:val="00F966CF"/>
    <w:rsid w:val="00F96CAE"/>
    <w:rsid w:val="00F978C1"/>
    <w:rsid w:val="00F97C99"/>
    <w:rsid w:val="00FA174B"/>
    <w:rsid w:val="00FA63AF"/>
    <w:rsid w:val="00FA662D"/>
    <w:rsid w:val="00FA73B1"/>
    <w:rsid w:val="00FB0CB9"/>
    <w:rsid w:val="00FB231D"/>
    <w:rsid w:val="00FB45F1"/>
    <w:rsid w:val="00FB4A72"/>
    <w:rsid w:val="00FB54E8"/>
    <w:rsid w:val="00FB6040"/>
    <w:rsid w:val="00FB7054"/>
    <w:rsid w:val="00FC17B7"/>
    <w:rsid w:val="00FC1EE2"/>
    <w:rsid w:val="00FC231A"/>
    <w:rsid w:val="00FC2CB7"/>
    <w:rsid w:val="00FC4090"/>
    <w:rsid w:val="00FC4212"/>
    <w:rsid w:val="00FC55B4"/>
    <w:rsid w:val="00FC6D9F"/>
    <w:rsid w:val="00FD00E6"/>
    <w:rsid w:val="00FD09A1"/>
    <w:rsid w:val="00FD2A7C"/>
    <w:rsid w:val="00FD59EB"/>
    <w:rsid w:val="00FD64CC"/>
    <w:rsid w:val="00FD7299"/>
    <w:rsid w:val="00FE0AE8"/>
    <w:rsid w:val="00FE1FBE"/>
    <w:rsid w:val="00FE3901"/>
    <w:rsid w:val="00FE39D3"/>
    <w:rsid w:val="00FE4BCE"/>
    <w:rsid w:val="00FE54AE"/>
    <w:rsid w:val="00FE576A"/>
    <w:rsid w:val="00FE6F7D"/>
    <w:rsid w:val="00FE7E79"/>
    <w:rsid w:val="00FF1D88"/>
    <w:rsid w:val="00FF3C36"/>
    <w:rsid w:val="00FF3E7D"/>
    <w:rsid w:val="00FF5260"/>
    <w:rsid w:val="00FF5B99"/>
    <w:rsid w:val="00FF730C"/>
    <w:rsid w:val="00FF73F4"/>
    <w:rsid w:val="00FF7CE4"/>
    <w:rsid w:val="00FF7E39"/>
    <w:rsid w:val="01E10D11"/>
    <w:rsid w:val="0233491E"/>
    <w:rsid w:val="02443CCC"/>
    <w:rsid w:val="025F4662"/>
    <w:rsid w:val="02C95F7F"/>
    <w:rsid w:val="0365214C"/>
    <w:rsid w:val="038A3960"/>
    <w:rsid w:val="03E77AA4"/>
    <w:rsid w:val="05092FAB"/>
    <w:rsid w:val="05132F92"/>
    <w:rsid w:val="053C7612"/>
    <w:rsid w:val="065F10D4"/>
    <w:rsid w:val="066C60D5"/>
    <w:rsid w:val="066E3C42"/>
    <w:rsid w:val="06DF5D71"/>
    <w:rsid w:val="071B4364"/>
    <w:rsid w:val="080A1514"/>
    <w:rsid w:val="08B0518A"/>
    <w:rsid w:val="08B7094D"/>
    <w:rsid w:val="09705F72"/>
    <w:rsid w:val="098552D3"/>
    <w:rsid w:val="0992531D"/>
    <w:rsid w:val="0A6071C9"/>
    <w:rsid w:val="0A8455AD"/>
    <w:rsid w:val="0AFC15E8"/>
    <w:rsid w:val="0B2C309E"/>
    <w:rsid w:val="0B5E6AF4"/>
    <w:rsid w:val="0B6166E1"/>
    <w:rsid w:val="0B9C5431"/>
    <w:rsid w:val="0BEB340A"/>
    <w:rsid w:val="0D130BBE"/>
    <w:rsid w:val="0E233019"/>
    <w:rsid w:val="0ED1123B"/>
    <w:rsid w:val="0EEA5BFB"/>
    <w:rsid w:val="0F735BF1"/>
    <w:rsid w:val="0F9811B3"/>
    <w:rsid w:val="109220A6"/>
    <w:rsid w:val="10EE09F6"/>
    <w:rsid w:val="10F36FE9"/>
    <w:rsid w:val="11164A85"/>
    <w:rsid w:val="115B4B8E"/>
    <w:rsid w:val="11B73751"/>
    <w:rsid w:val="11FD1D96"/>
    <w:rsid w:val="13653AA2"/>
    <w:rsid w:val="13D1694C"/>
    <w:rsid w:val="13E31E2B"/>
    <w:rsid w:val="13EC7D20"/>
    <w:rsid w:val="1429196A"/>
    <w:rsid w:val="147815B3"/>
    <w:rsid w:val="14DC630A"/>
    <w:rsid w:val="15267261"/>
    <w:rsid w:val="16C15493"/>
    <w:rsid w:val="1771514A"/>
    <w:rsid w:val="178F6349"/>
    <w:rsid w:val="17B10542"/>
    <w:rsid w:val="1817209B"/>
    <w:rsid w:val="186E3F20"/>
    <w:rsid w:val="1890336F"/>
    <w:rsid w:val="18AF5EEB"/>
    <w:rsid w:val="18BE612E"/>
    <w:rsid w:val="194A1E10"/>
    <w:rsid w:val="197E766C"/>
    <w:rsid w:val="198F49AD"/>
    <w:rsid w:val="1A02204B"/>
    <w:rsid w:val="1A7E38C5"/>
    <w:rsid w:val="1A8A392A"/>
    <w:rsid w:val="1AD0039B"/>
    <w:rsid w:val="1B6A2796"/>
    <w:rsid w:val="1B7365C7"/>
    <w:rsid w:val="1B917B2A"/>
    <w:rsid w:val="1BA7588C"/>
    <w:rsid w:val="1C746B04"/>
    <w:rsid w:val="1CCB6FEF"/>
    <w:rsid w:val="1D9A07EC"/>
    <w:rsid w:val="1DCE038D"/>
    <w:rsid w:val="1E5D3CF4"/>
    <w:rsid w:val="1E7E589D"/>
    <w:rsid w:val="1EEE7042"/>
    <w:rsid w:val="1EFA598D"/>
    <w:rsid w:val="1F813A12"/>
    <w:rsid w:val="1FC658C9"/>
    <w:rsid w:val="20144886"/>
    <w:rsid w:val="212B632B"/>
    <w:rsid w:val="21F7445F"/>
    <w:rsid w:val="22387237"/>
    <w:rsid w:val="22B91715"/>
    <w:rsid w:val="22C80558"/>
    <w:rsid w:val="22F015DA"/>
    <w:rsid w:val="23074C39"/>
    <w:rsid w:val="23983A20"/>
    <w:rsid w:val="23B75C54"/>
    <w:rsid w:val="23B77CC6"/>
    <w:rsid w:val="249C309C"/>
    <w:rsid w:val="26C87572"/>
    <w:rsid w:val="27AC5CEC"/>
    <w:rsid w:val="27FE1B08"/>
    <w:rsid w:val="28070704"/>
    <w:rsid w:val="281C4C20"/>
    <w:rsid w:val="28292E99"/>
    <w:rsid w:val="28D21782"/>
    <w:rsid w:val="29587542"/>
    <w:rsid w:val="297840D8"/>
    <w:rsid w:val="299D3B3E"/>
    <w:rsid w:val="29B17460"/>
    <w:rsid w:val="29E76B67"/>
    <w:rsid w:val="2A16744D"/>
    <w:rsid w:val="2A3F69A3"/>
    <w:rsid w:val="2B817A01"/>
    <w:rsid w:val="2C7212B2"/>
    <w:rsid w:val="2C792640"/>
    <w:rsid w:val="2C7F574B"/>
    <w:rsid w:val="2C9E3E55"/>
    <w:rsid w:val="2D0839C4"/>
    <w:rsid w:val="2DEC299E"/>
    <w:rsid w:val="30406FD1"/>
    <w:rsid w:val="31676BC0"/>
    <w:rsid w:val="3216623C"/>
    <w:rsid w:val="33A923F0"/>
    <w:rsid w:val="33E02FA5"/>
    <w:rsid w:val="3674719E"/>
    <w:rsid w:val="37734130"/>
    <w:rsid w:val="37AB5678"/>
    <w:rsid w:val="380026BF"/>
    <w:rsid w:val="38E52E0C"/>
    <w:rsid w:val="39A859CD"/>
    <w:rsid w:val="39C66799"/>
    <w:rsid w:val="3AA840F1"/>
    <w:rsid w:val="3AC938C1"/>
    <w:rsid w:val="3AF37A62"/>
    <w:rsid w:val="3B8033E1"/>
    <w:rsid w:val="3BA925ED"/>
    <w:rsid w:val="3C6127A9"/>
    <w:rsid w:val="3CF05420"/>
    <w:rsid w:val="3D6C3AFB"/>
    <w:rsid w:val="3D6E2EF1"/>
    <w:rsid w:val="3D8B21D4"/>
    <w:rsid w:val="3DF064DB"/>
    <w:rsid w:val="3EEA3117"/>
    <w:rsid w:val="3F8C5D8F"/>
    <w:rsid w:val="401B1D79"/>
    <w:rsid w:val="4090717D"/>
    <w:rsid w:val="4121627F"/>
    <w:rsid w:val="437B6846"/>
    <w:rsid w:val="446455C0"/>
    <w:rsid w:val="45557336"/>
    <w:rsid w:val="45AF27D7"/>
    <w:rsid w:val="46713F31"/>
    <w:rsid w:val="46E26BDC"/>
    <w:rsid w:val="4702562B"/>
    <w:rsid w:val="47217705"/>
    <w:rsid w:val="473057A0"/>
    <w:rsid w:val="47305E22"/>
    <w:rsid w:val="473311E6"/>
    <w:rsid w:val="47DF6C6C"/>
    <w:rsid w:val="47E4077E"/>
    <w:rsid w:val="487F0B87"/>
    <w:rsid w:val="493A5F49"/>
    <w:rsid w:val="4A3F7200"/>
    <w:rsid w:val="4B0B69AB"/>
    <w:rsid w:val="4BAF07EE"/>
    <w:rsid w:val="4BF47196"/>
    <w:rsid w:val="4DE44FE8"/>
    <w:rsid w:val="4DFD1C7D"/>
    <w:rsid w:val="4E066332"/>
    <w:rsid w:val="4E64171D"/>
    <w:rsid w:val="4EFE20DA"/>
    <w:rsid w:val="4F135B85"/>
    <w:rsid w:val="4F42290E"/>
    <w:rsid w:val="4F5D5A10"/>
    <w:rsid w:val="50E13A61"/>
    <w:rsid w:val="511B6F73"/>
    <w:rsid w:val="51920283"/>
    <w:rsid w:val="52807A48"/>
    <w:rsid w:val="53801A3F"/>
    <w:rsid w:val="53C367CE"/>
    <w:rsid w:val="53D8739D"/>
    <w:rsid w:val="54C25968"/>
    <w:rsid w:val="5588094F"/>
    <w:rsid w:val="55DA564E"/>
    <w:rsid w:val="569706EB"/>
    <w:rsid w:val="57723665"/>
    <w:rsid w:val="5774562F"/>
    <w:rsid w:val="58001645"/>
    <w:rsid w:val="582738AE"/>
    <w:rsid w:val="58ED5699"/>
    <w:rsid w:val="597B0EF6"/>
    <w:rsid w:val="598A2AEB"/>
    <w:rsid w:val="5AAE0E58"/>
    <w:rsid w:val="5B694D7F"/>
    <w:rsid w:val="5CD34BA6"/>
    <w:rsid w:val="5D21471A"/>
    <w:rsid w:val="5D3423CB"/>
    <w:rsid w:val="5D714752"/>
    <w:rsid w:val="5D744B4B"/>
    <w:rsid w:val="5D841F6A"/>
    <w:rsid w:val="5E7309B2"/>
    <w:rsid w:val="605D1356"/>
    <w:rsid w:val="606A5821"/>
    <w:rsid w:val="60C70EC5"/>
    <w:rsid w:val="611539DF"/>
    <w:rsid w:val="61B50D1E"/>
    <w:rsid w:val="626C3AD2"/>
    <w:rsid w:val="6280757E"/>
    <w:rsid w:val="631B16D1"/>
    <w:rsid w:val="638C5AAE"/>
    <w:rsid w:val="63EB3589"/>
    <w:rsid w:val="646D7847"/>
    <w:rsid w:val="655907D5"/>
    <w:rsid w:val="660404C6"/>
    <w:rsid w:val="661701F9"/>
    <w:rsid w:val="6632293D"/>
    <w:rsid w:val="66D87988"/>
    <w:rsid w:val="670D6F06"/>
    <w:rsid w:val="67185685"/>
    <w:rsid w:val="67655FA1"/>
    <w:rsid w:val="67803731"/>
    <w:rsid w:val="67D619EE"/>
    <w:rsid w:val="67E16AA0"/>
    <w:rsid w:val="688D47A2"/>
    <w:rsid w:val="68BB130F"/>
    <w:rsid w:val="68E36170"/>
    <w:rsid w:val="68EB6230"/>
    <w:rsid w:val="690305C1"/>
    <w:rsid w:val="691722BE"/>
    <w:rsid w:val="69382960"/>
    <w:rsid w:val="69384266"/>
    <w:rsid w:val="69670B4F"/>
    <w:rsid w:val="69D17E3F"/>
    <w:rsid w:val="6B6F10DD"/>
    <w:rsid w:val="6C162C53"/>
    <w:rsid w:val="6CB84F12"/>
    <w:rsid w:val="6CD81D64"/>
    <w:rsid w:val="6D7777CF"/>
    <w:rsid w:val="6E752BE8"/>
    <w:rsid w:val="6EC449EC"/>
    <w:rsid w:val="6F6A75EB"/>
    <w:rsid w:val="701D640C"/>
    <w:rsid w:val="70514307"/>
    <w:rsid w:val="706933FF"/>
    <w:rsid w:val="712437CA"/>
    <w:rsid w:val="72BC05F1"/>
    <w:rsid w:val="72FC67AC"/>
    <w:rsid w:val="737E02D0"/>
    <w:rsid w:val="73D2329F"/>
    <w:rsid w:val="74145D78"/>
    <w:rsid w:val="7420296E"/>
    <w:rsid w:val="745D7ABB"/>
    <w:rsid w:val="75A1363B"/>
    <w:rsid w:val="76E9529A"/>
    <w:rsid w:val="77B238DE"/>
    <w:rsid w:val="77BF043E"/>
    <w:rsid w:val="780954C8"/>
    <w:rsid w:val="79283F5B"/>
    <w:rsid w:val="79680AA4"/>
    <w:rsid w:val="79F521A7"/>
    <w:rsid w:val="7AE6230A"/>
    <w:rsid w:val="7B09415C"/>
    <w:rsid w:val="7BEC3136"/>
    <w:rsid w:val="7C272122"/>
    <w:rsid w:val="7C9712F4"/>
    <w:rsid w:val="7D8E6B9B"/>
    <w:rsid w:val="7DCB1DED"/>
    <w:rsid w:val="7DF34C50"/>
    <w:rsid w:val="7DFF35F5"/>
    <w:rsid w:val="7EEB5927"/>
    <w:rsid w:val="7F01514B"/>
    <w:rsid w:val="7F17780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ind w:left="1701"/>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ind w:left="5954"/>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9"/>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1"/>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2"/>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2"/>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19"/>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19"/>
      </w:numPr>
      <w:adjustRightInd/>
    </w:pPr>
    <w:rPr>
      <w:szCs w:val="24"/>
    </w:rPr>
  </w:style>
  <w:style w:type="paragraph" w:customStyle="1" w:styleId="162">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2"/>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3"/>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0"/>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4"/>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0"/>
      </w:numPr>
      <w:ind w:firstLine="0" w:firstLineChars="0"/>
    </w:pPr>
  </w:style>
  <w:style w:type="paragraph" w:customStyle="1" w:styleId="191">
    <w:name w:val="标准文件_三级项2"/>
    <w:basedOn w:val="59"/>
    <w:qFormat/>
    <w:uiPriority w:val="0"/>
    <w:pPr>
      <w:numPr>
        <w:ilvl w:val="0"/>
        <w:numId w:val="29"/>
      </w:numPr>
      <w:spacing w:line="300" w:lineRule="exact"/>
      <w:ind w:firstLineChars="0"/>
    </w:pPr>
    <w:rPr>
      <w:rFonts w:ascii="Times New Roman"/>
    </w:rPr>
  </w:style>
  <w:style w:type="paragraph" w:customStyle="1" w:styleId="192">
    <w:name w:val="标准文件_一级项2"/>
    <w:basedOn w:val="59"/>
    <w:qFormat/>
    <w:uiPriority w:val="0"/>
    <w:pPr>
      <w:numPr>
        <w:ilvl w:val="0"/>
        <w:numId w:val="30"/>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spacing w:before="50" w:beforeLines="50" w:after="50" w:afterLines="50"/>
      <w:ind w:firstLine="0" w:firstLineChars="0"/>
    </w:pPr>
    <w:rPr>
      <w:rFonts w:ascii="黑体" w:eastAsia="黑体"/>
    </w:rPr>
  </w:style>
  <w:style w:type="paragraph" w:customStyle="1" w:styleId="204">
    <w:name w:val="标准文件_引言二级条标题"/>
    <w:basedOn w:val="59"/>
    <w:next w:val="59"/>
    <w:qFormat/>
    <w:uiPriority w:val="0"/>
    <w:pPr>
      <w:spacing w:before="50" w:beforeLines="50" w:after="50" w:afterLines="50"/>
      <w:ind w:firstLine="0" w:firstLineChars="0"/>
    </w:pPr>
    <w:rPr>
      <w:rFonts w:ascii="黑体" w:eastAsia="黑体"/>
    </w:rPr>
  </w:style>
  <w:style w:type="paragraph" w:customStyle="1" w:styleId="205">
    <w:name w:val="标准文件_引言三级条标题"/>
    <w:basedOn w:val="59"/>
    <w:next w:val="59"/>
    <w:qFormat/>
    <w:uiPriority w:val="0"/>
    <w:pPr>
      <w:spacing w:before="50" w:beforeLines="50" w:after="50" w:afterLines="50"/>
      <w:ind w:firstLine="0" w:firstLineChars="0"/>
    </w:pPr>
    <w:rPr>
      <w:rFonts w:ascii="黑体" w:eastAsia="黑体"/>
    </w:rPr>
  </w:style>
  <w:style w:type="paragraph" w:customStyle="1" w:styleId="206">
    <w:name w:val="标准文件_引言四级条标题"/>
    <w:basedOn w:val="59"/>
    <w:next w:val="59"/>
    <w:qFormat/>
    <w:uiPriority w:val="0"/>
    <w:pPr>
      <w:spacing w:before="50" w:beforeLines="50" w:after="50" w:afterLines="50"/>
      <w:ind w:firstLine="0" w:firstLineChars="0"/>
    </w:pPr>
    <w:rPr>
      <w:rFonts w:ascii="黑体" w:eastAsia="黑体"/>
    </w:rPr>
  </w:style>
  <w:style w:type="paragraph" w:customStyle="1" w:styleId="207">
    <w:name w:val="标准文件_引言五级条标题"/>
    <w:basedOn w:val="59"/>
    <w:next w:val="59"/>
    <w:qFormat/>
    <w:uiPriority w:val="0"/>
    <w:pPr>
      <w:spacing w:before="50" w:beforeLines="50" w:after="50" w:afterLines="50"/>
      <w:ind w:firstLine="0"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 w:type="paragraph" w:styleId="235">
    <w:name w:val="List Paragraph"/>
    <w:basedOn w:val="1"/>
    <w:unhideWhenUsed/>
    <w:qFormat/>
    <w:uiPriority w:val="99"/>
    <w:pPr>
      <w:ind w:firstLine="420" w:firstLineChars="200"/>
    </w:pPr>
  </w:style>
  <w:style w:type="paragraph" w:customStyle="1" w:styleId="236">
    <w:name w:val="样式11"/>
    <w:link w:val="237"/>
    <w:autoRedefine/>
    <w:qFormat/>
    <w:uiPriority w:val="0"/>
    <w:pPr>
      <w:ind w:firstLine="480" w:firstLineChars="200"/>
      <w:jc w:val="both"/>
    </w:pPr>
    <w:rPr>
      <w:rFonts w:ascii="Times New Roman" w:hAnsi="Times New Roman" w:eastAsia="宋体" w:cstheme="minorBidi"/>
      <w:kern w:val="2"/>
      <w:sz w:val="24"/>
      <w:szCs w:val="24"/>
      <w:lang w:val="en-US" w:eastAsia="zh-CN" w:bidi="ar-SA"/>
      <w14:ligatures w14:val="standardContextual"/>
    </w:rPr>
  </w:style>
  <w:style w:type="character" w:customStyle="1" w:styleId="237">
    <w:name w:val="样式11 字符"/>
    <w:basedOn w:val="30"/>
    <w:link w:val="236"/>
    <w:qFormat/>
    <w:uiPriority w:val="0"/>
    <w:rPr>
      <w:rFonts w:cstheme="minorBidi"/>
      <w:kern w:val="2"/>
      <w:sz w:val="24"/>
      <w:szCs w:val="24"/>
      <w14:ligatures w14:val="standardContextual"/>
    </w:rPr>
  </w:style>
  <w:style w:type="paragraph" w:customStyle="1" w:styleId="238">
    <w:name w:val="样式12"/>
    <w:basedOn w:val="1"/>
    <w:qFormat/>
    <w:uiPriority w:val="0"/>
    <w:pPr>
      <w:autoSpaceDE w:val="0"/>
      <w:autoSpaceDN w:val="0"/>
      <w:ind w:firstLine="420" w:firstLineChars="200"/>
    </w:pPr>
    <w:rPr>
      <w:rFonts w:ascii="Times New Roman" w:hAnsi="Times New Roman"/>
    </w:rPr>
  </w:style>
  <w:style w:type="paragraph" w:customStyle="1" w:styleId="239">
    <w:name w:val="正文部分"/>
    <w:basedOn w:val="1"/>
    <w:link w:val="240"/>
    <w:qFormat/>
    <w:uiPriority w:val="0"/>
    <w:pPr>
      <w:adjustRightInd/>
      <w:spacing w:line="240" w:lineRule="auto"/>
      <w:ind w:firstLine="420" w:firstLineChars="200"/>
      <w:jc w:val="left"/>
    </w:pPr>
    <w:rPr>
      <w:rFonts w:ascii="Times New Roman" w:hAnsi="Times New Roman"/>
    </w:rPr>
  </w:style>
  <w:style w:type="character" w:customStyle="1" w:styleId="240">
    <w:name w:val="正文部分 字符"/>
    <w:link w:val="239"/>
    <w:qFormat/>
    <w:uiPriority w:val="0"/>
    <w:rPr>
      <w:kern w:val="2"/>
      <w:sz w:val="21"/>
      <w:szCs w:val="21"/>
    </w:rPr>
  </w:style>
  <w:style w:type="paragraph" w:customStyle="1" w:styleId="241">
    <w:name w:val="附录标题"/>
    <w:basedOn w:val="239"/>
    <w:link w:val="242"/>
    <w:qFormat/>
    <w:uiPriority w:val="0"/>
    <w:pPr>
      <w:numPr>
        <w:ilvl w:val="1"/>
        <w:numId w:val="31"/>
      </w:numPr>
      <w:spacing w:before="120" w:after="120"/>
      <w:ind w:firstLineChars="0"/>
    </w:pPr>
    <w:rPr>
      <w:rFonts w:eastAsia="黑体"/>
    </w:rPr>
  </w:style>
  <w:style w:type="character" w:customStyle="1" w:styleId="242">
    <w:name w:val="附录标题 字符"/>
    <w:link w:val="241"/>
    <w:qFormat/>
    <w:uiPriority w:val="0"/>
    <w:rPr>
      <w:rFonts w:eastAsia="黑体"/>
      <w:kern w:val="2"/>
      <w:sz w:val="21"/>
      <w:szCs w:val="21"/>
    </w:rPr>
  </w:style>
  <w:style w:type="paragraph" w:customStyle="1" w:styleId="243">
    <w:name w:val="附录章节标题"/>
    <w:basedOn w:val="1"/>
    <w:link w:val="244"/>
    <w:qFormat/>
    <w:uiPriority w:val="0"/>
    <w:pPr>
      <w:keepNext/>
      <w:keepLines/>
      <w:adjustRightInd/>
      <w:spacing w:before="60" w:line="240" w:lineRule="auto"/>
      <w:ind w:left="100" w:leftChars="100" w:right="100" w:rightChars="100"/>
      <w:jc w:val="center"/>
      <w:outlineLvl w:val="0"/>
    </w:pPr>
    <w:rPr>
      <w:rFonts w:ascii="Times New Roman" w:hAnsi="Times New Roman" w:eastAsia="黑体"/>
      <w:color w:val="000000"/>
      <w:kern w:val="44"/>
      <w:szCs w:val="32"/>
      <w:shd w:val="clear" w:color="auto" w:fill="FFFFFF"/>
    </w:rPr>
  </w:style>
  <w:style w:type="character" w:customStyle="1" w:styleId="244">
    <w:name w:val="附录章节标题 字符"/>
    <w:link w:val="243"/>
    <w:qFormat/>
    <w:uiPriority w:val="0"/>
    <w:rPr>
      <w:rFonts w:eastAsia="黑体"/>
      <w:color w:val="000000"/>
      <w:kern w:val="44"/>
      <w:sz w:val="21"/>
      <w:szCs w:val="32"/>
    </w:rPr>
  </w:style>
  <w:style w:type="paragraph" w:customStyle="1" w:styleId="245">
    <w:name w:val="样式a"/>
    <w:basedOn w:val="59"/>
    <w:link w:val="246"/>
    <w:qFormat/>
    <w:uiPriority w:val="0"/>
    <w:pPr>
      <w:ind w:firstLine="420"/>
    </w:pPr>
    <w:rPr>
      <w:rFonts w:ascii="Times New Roman"/>
    </w:rPr>
  </w:style>
  <w:style w:type="character" w:customStyle="1" w:styleId="246">
    <w:name w:val="样式a 字符"/>
    <w:basedOn w:val="187"/>
    <w:link w:val="245"/>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2.png"/><Relationship Id="rId35" Type="http://schemas.openxmlformats.org/officeDocument/2006/relationships/image" Target="media/image11.wmf"/><Relationship Id="rId34" Type="http://schemas.openxmlformats.org/officeDocument/2006/relationships/oleObject" Target="embeddings/oleObject10.bin"/><Relationship Id="rId33" Type="http://schemas.openxmlformats.org/officeDocument/2006/relationships/image" Target="media/image10.wmf"/><Relationship Id="rId32" Type="http://schemas.openxmlformats.org/officeDocument/2006/relationships/oleObject" Target="embeddings/oleObject9.bin"/><Relationship Id="rId31" Type="http://schemas.openxmlformats.org/officeDocument/2006/relationships/image" Target="media/image9.wmf"/><Relationship Id="rId30" Type="http://schemas.openxmlformats.org/officeDocument/2006/relationships/oleObject" Target="embeddings/oleObject8.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7.bin"/><Relationship Id="rId27" Type="http://schemas.openxmlformats.org/officeDocument/2006/relationships/image" Target="media/image7.wmf"/><Relationship Id="rId26" Type="http://schemas.openxmlformats.org/officeDocument/2006/relationships/oleObject" Target="embeddings/oleObject6.bin"/><Relationship Id="rId25" Type="http://schemas.openxmlformats.org/officeDocument/2006/relationships/image" Target="media/image6.wmf"/><Relationship Id="rId24" Type="http://schemas.openxmlformats.org/officeDocument/2006/relationships/oleObject" Target="embeddings/oleObject5.bin"/><Relationship Id="rId23" Type="http://schemas.openxmlformats.org/officeDocument/2006/relationships/image" Target="media/image5.wmf"/><Relationship Id="rId22" Type="http://schemas.openxmlformats.org/officeDocument/2006/relationships/oleObject" Target="embeddings/oleObject4.bin"/><Relationship Id="rId21" Type="http://schemas.openxmlformats.org/officeDocument/2006/relationships/image" Target="media/image4.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2.bin"/><Relationship Id="rId17" Type="http://schemas.openxmlformats.org/officeDocument/2006/relationships/image" Target="media/image2.wmf"/><Relationship Id="rId16" Type="http://schemas.openxmlformats.org/officeDocument/2006/relationships/oleObject" Target="embeddings/oleObject1.bin"/><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F3DBF90E7542518DDF3241C34F379A"/>
        <w:style w:val=""/>
        <w:category>
          <w:name w:val="常规"/>
          <w:gallery w:val="placeholder"/>
        </w:category>
        <w:types>
          <w:type w:val="bbPlcHdr"/>
        </w:types>
        <w:behaviors>
          <w:behavior w:val="content"/>
        </w:behaviors>
        <w:description w:val=""/>
        <w:guid w:val="{ACED16F7-BF8D-4B17-A52C-32A46A48DA16}"/>
      </w:docPartPr>
      <w:docPartBody>
        <w:p w14:paraId="0D57BCB3">
          <w:pPr>
            <w:pStyle w:val="5"/>
            <w:rPr>
              <w:rFonts w:hint="eastAsia"/>
            </w:rPr>
          </w:pPr>
          <w:r>
            <w:rPr>
              <w:rStyle w:val="4"/>
              <w:rFonts w:hint="eastAsia"/>
            </w:rPr>
            <w:t>单击或点击此处输入文字。</w:t>
          </w:r>
        </w:p>
      </w:docPartBody>
    </w:docPart>
    <w:docPart>
      <w:docPartPr>
        <w:name w:val="3074609F2E0D4808985A73B6D007DAB2"/>
        <w:style w:val=""/>
        <w:category>
          <w:name w:val="常规"/>
          <w:gallery w:val="placeholder"/>
        </w:category>
        <w:types>
          <w:type w:val="bbPlcHdr"/>
        </w:types>
        <w:behaviors>
          <w:behavior w:val="content"/>
        </w:behaviors>
        <w:description w:val=""/>
        <w:guid w:val="{0FCE7EA9-7762-4130-B18A-7F0DF4E2484E}"/>
      </w:docPartPr>
      <w:docPartBody>
        <w:p w14:paraId="043AE831">
          <w:pPr>
            <w:pStyle w:val="6"/>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EB"/>
    <w:rsid w:val="00081352"/>
    <w:rsid w:val="000C1042"/>
    <w:rsid w:val="00115F4F"/>
    <w:rsid w:val="00117C96"/>
    <w:rsid w:val="00154B3B"/>
    <w:rsid w:val="001F086C"/>
    <w:rsid w:val="0021660B"/>
    <w:rsid w:val="0022169B"/>
    <w:rsid w:val="00257F1F"/>
    <w:rsid w:val="002627A6"/>
    <w:rsid w:val="00281F1E"/>
    <w:rsid w:val="002A1B64"/>
    <w:rsid w:val="002F3B1D"/>
    <w:rsid w:val="00316806"/>
    <w:rsid w:val="0032136D"/>
    <w:rsid w:val="00323FFD"/>
    <w:rsid w:val="0035030A"/>
    <w:rsid w:val="00353B34"/>
    <w:rsid w:val="00360489"/>
    <w:rsid w:val="003634F2"/>
    <w:rsid w:val="003C1B09"/>
    <w:rsid w:val="003E0B41"/>
    <w:rsid w:val="004004EF"/>
    <w:rsid w:val="00405BD6"/>
    <w:rsid w:val="004305E4"/>
    <w:rsid w:val="00430F62"/>
    <w:rsid w:val="0046473B"/>
    <w:rsid w:val="004908E3"/>
    <w:rsid w:val="00494366"/>
    <w:rsid w:val="004B5807"/>
    <w:rsid w:val="004C06F3"/>
    <w:rsid w:val="004C286F"/>
    <w:rsid w:val="004F1338"/>
    <w:rsid w:val="004F5A31"/>
    <w:rsid w:val="0050259B"/>
    <w:rsid w:val="00513BB1"/>
    <w:rsid w:val="005142C5"/>
    <w:rsid w:val="005144D9"/>
    <w:rsid w:val="0059086E"/>
    <w:rsid w:val="005B11EA"/>
    <w:rsid w:val="005B554B"/>
    <w:rsid w:val="005B5C4A"/>
    <w:rsid w:val="005F3FD4"/>
    <w:rsid w:val="005F56EF"/>
    <w:rsid w:val="00635F66"/>
    <w:rsid w:val="00662757"/>
    <w:rsid w:val="006A0B6B"/>
    <w:rsid w:val="006E43C3"/>
    <w:rsid w:val="006F617E"/>
    <w:rsid w:val="00741D80"/>
    <w:rsid w:val="00746E2D"/>
    <w:rsid w:val="00750D7F"/>
    <w:rsid w:val="007818B9"/>
    <w:rsid w:val="00800149"/>
    <w:rsid w:val="00800360"/>
    <w:rsid w:val="008751F6"/>
    <w:rsid w:val="00877B31"/>
    <w:rsid w:val="008929D9"/>
    <w:rsid w:val="008B2316"/>
    <w:rsid w:val="008F1C91"/>
    <w:rsid w:val="0090486E"/>
    <w:rsid w:val="00905593"/>
    <w:rsid w:val="0092574B"/>
    <w:rsid w:val="0095660E"/>
    <w:rsid w:val="00961368"/>
    <w:rsid w:val="00963FB5"/>
    <w:rsid w:val="00964DE5"/>
    <w:rsid w:val="00A139E8"/>
    <w:rsid w:val="00A43EDA"/>
    <w:rsid w:val="00A77C65"/>
    <w:rsid w:val="00A93FCE"/>
    <w:rsid w:val="00AD27AC"/>
    <w:rsid w:val="00B127FC"/>
    <w:rsid w:val="00B22364"/>
    <w:rsid w:val="00B2369C"/>
    <w:rsid w:val="00B35810"/>
    <w:rsid w:val="00B67563"/>
    <w:rsid w:val="00B723CA"/>
    <w:rsid w:val="00BA177F"/>
    <w:rsid w:val="00BE4F78"/>
    <w:rsid w:val="00BF762A"/>
    <w:rsid w:val="00C50AA6"/>
    <w:rsid w:val="00C7266D"/>
    <w:rsid w:val="00C73875"/>
    <w:rsid w:val="00CA6810"/>
    <w:rsid w:val="00D345AA"/>
    <w:rsid w:val="00D36336"/>
    <w:rsid w:val="00D63D09"/>
    <w:rsid w:val="00D75698"/>
    <w:rsid w:val="00DA3F61"/>
    <w:rsid w:val="00DB0A05"/>
    <w:rsid w:val="00DC6073"/>
    <w:rsid w:val="00DE61F2"/>
    <w:rsid w:val="00DF07DF"/>
    <w:rsid w:val="00DF34EB"/>
    <w:rsid w:val="00E06285"/>
    <w:rsid w:val="00E10F28"/>
    <w:rsid w:val="00E26C53"/>
    <w:rsid w:val="00E53309"/>
    <w:rsid w:val="00E57B0D"/>
    <w:rsid w:val="00E9739C"/>
    <w:rsid w:val="00EA034F"/>
    <w:rsid w:val="00EE009F"/>
    <w:rsid w:val="00F024F4"/>
    <w:rsid w:val="00FB311A"/>
    <w:rsid w:val="00FC231A"/>
    <w:rsid w:val="00FF0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F3DBF90E7542518DDF3241C34F37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074609F2E0D4808985A73B6D007DAB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7384</Words>
  <Characters>8126</Characters>
  <Lines>70</Lines>
  <Paragraphs>19</Paragraphs>
  <TotalTime>0</TotalTime>
  <ScaleCrop>false</ScaleCrop>
  <LinksUpToDate>false</LinksUpToDate>
  <CharactersWithSpaces>8715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2025-03-30T15:38:00Z</dcterms:created>
  <dc:creator>admin</dc:creator>
  <cp:lastModifiedBy>晓泽</cp:lastModifiedBy>
  <cp:lastPrinted>2021-02-02T08:22:00Z</cp:lastPrinted>
  <dcterms:modified xsi:type="dcterms:W3CDTF">2025-04-24T08:30:26Z</dcterms:modified>
  <dc:title>团体标准</dc:title>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656E62AEDD244DBF9E9619228C721287_13</vt:lpwstr>
  </property>
  <property fmtid="{D5CDD505-2E9C-101B-9397-08002B2CF9AE}" pid="16" name="KSOTemplateDocerSaveRecord">
    <vt:lpwstr>eyJoZGlkIjoiNWYwMzIxMTdhMWJiNmVmMjkwODljMDY1ZDU0ZWU4NTUiLCJ1c2VySWQiOiIyOTUxNzIyMTcifQ==</vt:lpwstr>
  </property>
</Properties>
</file>